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CCD0" w14:textId="77777777" w:rsidR="00C12AA2" w:rsidRDefault="00C12AA2" w:rsidP="00CD74E5">
      <w:pPr>
        <w:rPr>
          <w:rFonts w:ascii="Garamond" w:hAnsi="Garamond"/>
          <w:sz w:val="22"/>
          <w:szCs w:val="22"/>
          <w:lang w:val="sk-SK"/>
        </w:rPr>
      </w:pPr>
    </w:p>
    <w:p w14:paraId="7CD63412" w14:textId="77777777" w:rsidR="00665518" w:rsidRDefault="00665518" w:rsidP="00CD74E5">
      <w:pPr>
        <w:rPr>
          <w:rFonts w:ascii="Garamond" w:hAnsi="Garamond"/>
          <w:sz w:val="22"/>
          <w:szCs w:val="22"/>
          <w:lang w:val="sk-SK"/>
        </w:rPr>
      </w:pPr>
    </w:p>
    <w:p w14:paraId="11D886DF" w14:textId="77777777" w:rsidR="00BC1BEE" w:rsidRDefault="00BC1BEE" w:rsidP="00CD74E5">
      <w:pPr>
        <w:rPr>
          <w:rFonts w:ascii="Garamond" w:hAnsi="Garamond"/>
          <w:sz w:val="22"/>
          <w:szCs w:val="22"/>
          <w:lang w:val="sk-SK"/>
        </w:rPr>
      </w:pPr>
    </w:p>
    <w:tbl>
      <w:tblPr>
        <w:tblStyle w:val="Mriekatabuky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</w:tblGrid>
      <w:tr w:rsidR="00665518" w:rsidRPr="00A41DA7" w14:paraId="1453D71F" w14:textId="77777777" w:rsidTr="00F7085A">
        <w:tc>
          <w:tcPr>
            <w:tcW w:w="3255" w:type="dxa"/>
          </w:tcPr>
          <w:p w14:paraId="2465FE49" w14:textId="77777777" w:rsidR="00665518" w:rsidRPr="00A41DA7" w:rsidRDefault="00665518" w:rsidP="00F7085A">
            <w:pPr>
              <w:rPr>
                <w:rFonts w:ascii="Garamond" w:hAnsi="Garamond"/>
                <w:b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b/>
                <w:sz w:val="22"/>
                <w:szCs w:val="22"/>
                <w:lang w:val="sk-SK"/>
              </w:rPr>
              <w:t>Úrad pre verejné obstarávanie</w:t>
            </w:r>
          </w:p>
          <w:p w14:paraId="77D8ECC4" w14:textId="77777777" w:rsidR="00665518" w:rsidRPr="00A41DA7" w:rsidRDefault="00665518" w:rsidP="00F7085A">
            <w:pPr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>Ružová dolina 10</w:t>
            </w:r>
          </w:p>
          <w:p w14:paraId="58000886" w14:textId="77777777" w:rsidR="00665518" w:rsidRPr="00A41DA7" w:rsidRDefault="00665518" w:rsidP="00F7085A">
            <w:pPr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>821 09  Bratislava</w:t>
            </w:r>
          </w:p>
        </w:tc>
      </w:tr>
    </w:tbl>
    <w:p w14:paraId="75D1632A" w14:textId="77777777" w:rsidR="00665518" w:rsidRDefault="00665518" w:rsidP="00CD74E5">
      <w:pPr>
        <w:rPr>
          <w:rFonts w:ascii="Garamond" w:hAnsi="Garamond"/>
          <w:sz w:val="22"/>
          <w:szCs w:val="22"/>
          <w:lang w:val="sk-SK"/>
        </w:rPr>
      </w:pPr>
    </w:p>
    <w:p w14:paraId="7E98AD02" w14:textId="77777777" w:rsidR="00665518" w:rsidRDefault="00665518" w:rsidP="00CD74E5">
      <w:pPr>
        <w:rPr>
          <w:rFonts w:ascii="Garamond" w:hAnsi="Garamond"/>
          <w:sz w:val="22"/>
          <w:szCs w:val="22"/>
          <w:lang w:val="sk-SK"/>
        </w:rPr>
      </w:pPr>
    </w:p>
    <w:p w14:paraId="3ABACFB6" w14:textId="77777777" w:rsidR="00BC1BEE" w:rsidRDefault="00BC1BEE" w:rsidP="00CD74E5">
      <w:pPr>
        <w:rPr>
          <w:rFonts w:ascii="Garamond" w:hAnsi="Garamond"/>
          <w:sz w:val="22"/>
          <w:szCs w:val="22"/>
          <w:lang w:val="sk-SK"/>
        </w:rPr>
      </w:pPr>
    </w:p>
    <w:p w14:paraId="2BBF4386" w14:textId="77777777" w:rsidR="00BC1BEE" w:rsidRDefault="00BC1BEE" w:rsidP="00CD74E5">
      <w:pPr>
        <w:rPr>
          <w:rFonts w:ascii="Garamond" w:hAnsi="Garamond"/>
          <w:sz w:val="22"/>
          <w:szCs w:val="22"/>
          <w:lang w:val="sk-SK"/>
        </w:rPr>
      </w:pPr>
    </w:p>
    <w:p w14:paraId="638E2D51" w14:textId="77777777" w:rsidR="00BC1BEE" w:rsidRPr="00A41DA7" w:rsidRDefault="00BC1BEE" w:rsidP="00CD74E5">
      <w:pPr>
        <w:rPr>
          <w:rFonts w:ascii="Garamond" w:hAnsi="Garamond"/>
          <w:sz w:val="22"/>
          <w:szCs w:val="22"/>
          <w:lang w:val="sk-SK"/>
        </w:rPr>
      </w:pPr>
    </w:p>
    <w:p w14:paraId="207DF725" w14:textId="77777777" w:rsidR="000637AF" w:rsidRPr="00A41DA7" w:rsidRDefault="000637AF" w:rsidP="000637AF">
      <w:pPr>
        <w:spacing w:after="12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b/>
          <w:sz w:val="22"/>
          <w:szCs w:val="22"/>
          <w:lang w:val="sk-SK"/>
        </w:rPr>
        <w:t>Vec:</w:t>
      </w:r>
      <w:r w:rsidRPr="00A41DA7">
        <w:rPr>
          <w:rFonts w:ascii="Garamond" w:hAnsi="Garamond"/>
          <w:sz w:val="22"/>
          <w:szCs w:val="22"/>
          <w:lang w:val="sk-SK"/>
        </w:rPr>
        <w:t xml:space="preserve"> Podnet k </w:t>
      </w:r>
      <w:r w:rsidR="005D0C1D" w:rsidRPr="00A41DA7">
        <w:rPr>
          <w:rFonts w:ascii="Garamond" w:hAnsi="Garamond"/>
          <w:sz w:val="22"/>
          <w:szCs w:val="22"/>
          <w:lang w:val="sk-SK"/>
        </w:rPr>
        <w:t xml:space="preserve">začatiu </w:t>
      </w:r>
      <w:r w:rsidRPr="00A41DA7">
        <w:rPr>
          <w:rFonts w:ascii="Garamond" w:hAnsi="Garamond"/>
          <w:sz w:val="22"/>
          <w:szCs w:val="22"/>
          <w:lang w:val="sk-SK"/>
        </w:rPr>
        <w:t>konania o preskúmaní úkonov kontrolovaného podľa § 169 ods. 1 písm. a) zák</w:t>
      </w:r>
      <w:r w:rsidR="005D0C1D" w:rsidRPr="00A41DA7">
        <w:rPr>
          <w:rFonts w:ascii="Garamond" w:hAnsi="Garamond"/>
          <w:sz w:val="22"/>
          <w:szCs w:val="22"/>
          <w:lang w:val="sk-SK"/>
        </w:rPr>
        <w:t>ona</w:t>
      </w:r>
      <w:r w:rsidRPr="00A41DA7">
        <w:rPr>
          <w:rFonts w:ascii="Garamond" w:hAnsi="Garamond"/>
          <w:sz w:val="22"/>
          <w:szCs w:val="22"/>
          <w:lang w:val="sk-SK"/>
        </w:rPr>
        <w:t xml:space="preserve"> č. 343/2015 </w:t>
      </w:r>
      <w:r w:rsidR="005D0C1D" w:rsidRPr="00A41DA7">
        <w:rPr>
          <w:rFonts w:ascii="Garamond" w:hAnsi="Garamond"/>
          <w:sz w:val="22"/>
          <w:szCs w:val="22"/>
          <w:lang w:val="sk-SK"/>
        </w:rPr>
        <w:t>Z. z.</w:t>
      </w:r>
      <w:r w:rsidRPr="00A41DA7">
        <w:rPr>
          <w:rFonts w:ascii="Garamond" w:hAnsi="Garamond"/>
          <w:sz w:val="22"/>
          <w:szCs w:val="22"/>
          <w:lang w:val="sk-SK"/>
        </w:rPr>
        <w:t xml:space="preserve"> o verejnom obstarávaní</w:t>
      </w:r>
      <w:r w:rsidR="005D0C1D" w:rsidRPr="00A41DA7">
        <w:rPr>
          <w:rFonts w:ascii="Garamond" w:hAnsi="Garamond"/>
          <w:sz w:val="22"/>
          <w:szCs w:val="22"/>
          <w:lang w:val="sk-SK"/>
        </w:rPr>
        <w:t xml:space="preserve"> a o zmene a doplnení niektorých zákonov v znení neskorších predpisov</w:t>
      </w:r>
      <w:r w:rsidRPr="00A41DA7">
        <w:rPr>
          <w:rFonts w:ascii="Garamond" w:hAnsi="Garamond"/>
          <w:sz w:val="22"/>
          <w:szCs w:val="22"/>
          <w:lang w:val="sk-SK"/>
        </w:rPr>
        <w:t xml:space="preserve"> (ďalej len „ZVO“)</w:t>
      </w:r>
    </w:p>
    <w:p w14:paraId="1B7F0708" w14:textId="77777777" w:rsidR="005D0C1D" w:rsidRPr="00A41DA7" w:rsidRDefault="005D0C1D" w:rsidP="000637AF">
      <w:pPr>
        <w:spacing w:after="12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b/>
          <w:sz w:val="22"/>
          <w:szCs w:val="22"/>
          <w:lang w:val="sk-SK"/>
        </w:rPr>
        <w:t xml:space="preserve">Navrhovateľ: </w:t>
      </w:r>
      <w:r w:rsidRPr="00A41DA7">
        <w:rPr>
          <w:rFonts w:ascii="Garamond" w:hAnsi="Garamond"/>
          <w:sz w:val="22"/>
          <w:szCs w:val="22"/>
          <w:lang w:val="sk-SK"/>
        </w:rPr>
        <w:t>Nadácia Zastavme korupciu, IČO: 42266777, so sídlom Staré Grunty 18, 841 04 Bratislava, Slovenská republika (ďalej len „navrhovateľ)</w:t>
      </w:r>
    </w:p>
    <w:p w14:paraId="733D8768" w14:textId="23C8ABDB" w:rsidR="000637AF" w:rsidRDefault="000637AF" w:rsidP="00DA4934">
      <w:pPr>
        <w:jc w:val="both"/>
        <w:rPr>
          <w:rFonts w:ascii="Garamond" w:hAnsi="Garamond"/>
          <w:b/>
          <w:sz w:val="22"/>
          <w:szCs w:val="22"/>
          <w:lang w:val="sk-SK"/>
        </w:rPr>
      </w:pPr>
      <w:r w:rsidRPr="00A41DA7">
        <w:rPr>
          <w:rFonts w:ascii="Garamond" w:hAnsi="Garamond"/>
          <w:b/>
          <w:sz w:val="22"/>
          <w:szCs w:val="22"/>
          <w:lang w:val="sk-SK"/>
        </w:rPr>
        <w:t xml:space="preserve">Kontrolovaný a zákazka: </w:t>
      </w:r>
      <w:r w:rsidR="00DA4934">
        <w:rPr>
          <w:rFonts w:ascii="Garamond" w:hAnsi="Garamond"/>
          <w:b/>
          <w:sz w:val="22"/>
          <w:szCs w:val="22"/>
          <w:lang w:val="sk-SK"/>
        </w:rPr>
        <w:t xml:space="preserve">Slovenská pošta, </w:t>
      </w:r>
      <w:proofErr w:type="spellStart"/>
      <w:r w:rsidR="00DA4934">
        <w:rPr>
          <w:rFonts w:ascii="Garamond" w:hAnsi="Garamond"/>
          <w:b/>
          <w:sz w:val="22"/>
          <w:szCs w:val="22"/>
          <w:lang w:val="sk-SK"/>
        </w:rPr>
        <w:t>a.s</w:t>
      </w:r>
      <w:proofErr w:type="spellEnd"/>
      <w:r w:rsidR="00DA4934">
        <w:rPr>
          <w:rFonts w:ascii="Garamond" w:hAnsi="Garamond"/>
          <w:b/>
          <w:sz w:val="22"/>
          <w:szCs w:val="22"/>
          <w:lang w:val="sk-SK"/>
        </w:rPr>
        <w:t>.</w:t>
      </w:r>
      <w:r w:rsidR="009D1879" w:rsidRPr="00A41DA7">
        <w:rPr>
          <w:rFonts w:ascii="Garamond" w:hAnsi="Garamond"/>
          <w:b/>
          <w:sz w:val="22"/>
          <w:szCs w:val="22"/>
          <w:lang w:val="sk-SK"/>
        </w:rPr>
        <w:t xml:space="preserve">, </w:t>
      </w:r>
      <w:r w:rsidR="009D1879" w:rsidRPr="00A41DA7">
        <w:rPr>
          <w:rFonts w:ascii="Garamond" w:hAnsi="Garamond"/>
          <w:sz w:val="22"/>
          <w:szCs w:val="22"/>
          <w:lang w:val="sk-SK"/>
        </w:rPr>
        <w:t xml:space="preserve">so sídlom </w:t>
      </w:r>
      <w:r w:rsidR="00DA4934">
        <w:rPr>
          <w:rFonts w:ascii="Garamond" w:hAnsi="Garamond"/>
          <w:sz w:val="22"/>
          <w:szCs w:val="22"/>
          <w:lang w:val="sk-SK"/>
        </w:rPr>
        <w:t>Partizánska 9</w:t>
      </w:r>
      <w:r w:rsidR="009D1879" w:rsidRPr="00A41DA7">
        <w:rPr>
          <w:rFonts w:ascii="Garamond" w:hAnsi="Garamond"/>
          <w:sz w:val="22"/>
          <w:szCs w:val="22"/>
          <w:lang w:val="sk-SK"/>
        </w:rPr>
        <w:t xml:space="preserve">, </w:t>
      </w:r>
      <w:r w:rsidR="00DA4934">
        <w:rPr>
          <w:rFonts w:ascii="Garamond" w:hAnsi="Garamond"/>
          <w:sz w:val="22"/>
          <w:szCs w:val="22"/>
          <w:lang w:val="sk-SK"/>
        </w:rPr>
        <w:t>975 99 Banská Bystrica</w:t>
      </w:r>
      <w:r w:rsidR="009D1879" w:rsidRPr="00A41DA7">
        <w:rPr>
          <w:rFonts w:ascii="Garamond" w:hAnsi="Garamond"/>
          <w:sz w:val="22"/>
          <w:szCs w:val="22"/>
          <w:lang w:val="sk-SK"/>
        </w:rPr>
        <w:t xml:space="preserve"> „</w:t>
      </w:r>
      <w:r w:rsidR="00DA4934">
        <w:rPr>
          <w:rFonts w:ascii="Garamond" w:hAnsi="Garamond"/>
          <w:b/>
          <w:sz w:val="22"/>
          <w:szCs w:val="22"/>
          <w:lang w:val="sk-SK"/>
        </w:rPr>
        <w:t>Poskytovanie technickej služby podľa § 7 zákona č. 473/2005 Z. z. o poskytovaní služieb v oblasti súkromnej služby“.</w:t>
      </w:r>
    </w:p>
    <w:p w14:paraId="40989372" w14:textId="77777777" w:rsidR="00665518" w:rsidRPr="00A41DA7" w:rsidRDefault="00665518" w:rsidP="00DA4934">
      <w:pPr>
        <w:jc w:val="both"/>
        <w:rPr>
          <w:rFonts w:ascii="Garamond" w:hAnsi="Garamond"/>
          <w:sz w:val="22"/>
          <w:szCs w:val="22"/>
          <w:lang w:val="sk-SK"/>
        </w:rPr>
      </w:pPr>
    </w:p>
    <w:p w14:paraId="1A80A841" w14:textId="77777777" w:rsidR="000637AF" w:rsidRPr="00A41DA7" w:rsidRDefault="000637AF" w:rsidP="000637AF">
      <w:pPr>
        <w:rPr>
          <w:rFonts w:ascii="Garamond" w:hAnsi="Garamond"/>
          <w:sz w:val="22"/>
          <w:szCs w:val="22"/>
          <w:lang w:val="sk-SK"/>
        </w:rPr>
      </w:pPr>
    </w:p>
    <w:p w14:paraId="54C388AC" w14:textId="77777777" w:rsidR="000637AF" w:rsidRPr="00A41DA7" w:rsidRDefault="000637AF" w:rsidP="000637AF">
      <w:pPr>
        <w:spacing w:after="12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Vážení, </w:t>
      </w:r>
    </w:p>
    <w:p w14:paraId="6C5F1E20" w14:textId="3E4BDFFF" w:rsidR="000637AF" w:rsidRPr="00A41DA7" w:rsidRDefault="000637AF" w:rsidP="000637AF">
      <w:pPr>
        <w:spacing w:after="12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>navrhovateľ sa zoznámil s oznámeniami a súťažnými podkladmi k </w:t>
      </w:r>
      <w:r w:rsidR="004B2D69" w:rsidRPr="00A41DA7">
        <w:rPr>
          <w:rFonts w:ascii="Garamond" w:hAnsi="Garamond"/>
          <w:sz w:val="22"/>
          <w:szCs w:val="22"/>
          <w:lang w:val="sk-SK"/>
        </w:rPr>
        <w:t>zákazke</w:t>
      </w:r>
      <w:r w:rsidRPr="00A41DA7">
        <w:rPr>
          <w:rFonts w:ascii="Garamond" w:hAnsi="Garamond"/>
          <w:sz w:val="22"/>
          <w:szCs w:val="22"/>
          <w:lang w:val="sk-SK"/>
        </w:rPr>
        <w:t xml:space="preserve">. Nakoľko niektoré </w:t>
      </w:r>
      <w:r w:rsidR="004B2D69" w:rsidRPr="00A41DA7">
        <w:rPr>
          <w:rFonts w:ascii="Garamond" w:hAnsi="Garamond"/>
          <w:sz w:val="22"/>
          <w:szCs w:val="22"/>
          <w:lang w:val="sk-SK"/>
        </w:rPr>
        <w:t>znaky technickej špecifikácie</w:t>
      </w:r>
      <w:r w:rsidRPr="00A41DA7">
        <w:rPr>
          <w:rFonts w:ascii="Garamond" w:hAnsi="Garamond"/>
          <w:sz w:val="22"/>
          <w:szCs w:val="22"/>
          <w:lang w:val="sk-SK"/>
        </w:rPr>
        <w:t xml:space="preserve"> považuje navrhovateľ za rozporné so ZVO a brániace </w:t>
      </w:r>
      <w:r w:rsidR="005D0C1D" w:rsidRPr="00A41DA7">
        <w:rPr>
          <w:rFonts w:ascii="Garamond" w:hAnsi="Garamond"/>
          <w:sz w:val="22"/>
          <w:szCs w:val="22"/>
          <w:lang w:val="sk-SK"/>
        </w:rPr>
        <w:t xml:space="preserve">efektívnej </w:t>
      </w:r>
      <w:r w:rsidRPr="00A41DA7">
        <w:rPr>
          <w:rFonts w:ascii="Garamond" w:hAnsi="Garamond"/>
          <w:sz w:val="22"/>
          <w:szCs w:val="22"/>
          <w:lang w:val="sk-SK"/>
        </w:rPr>
        <w:t>hospodárskej súťaži</w:t>
      </w:r>
      <w:r w:rsidR="005D0C1D" w:rsidRPr="00A41DA7">
        <w:rPr>
          <w:rFonts w:ascii="Garamond" w:hAnsi="Garamond"/>
          <w:sz w:val="22"/>
          <w:szCs w:val="22"/>
          <w:lang w:val="sk-SK"/>
        </w:rPr>
        <w:t xml:space="preserve"> na relevantnom trhu</w:t>
      </w:r>
      <w:r w:rsidRPr="00A41DA7">
        <w:rPr>
          <w:rFonts w:ascii="Garamond" w:hAnsi="Garamond"/>
          <w:sz w:val="22"/>
          <w:szCs w:val="22"/>
          <w:lang w:val="sk-SK"/>
        </w:rPr>
        <w:t xml:space="preserve">, podáva tento podnet k preskúmaniu úkonov kontrolovaného z vlastného podnetu pred uzatvorením zmluvy. </w:t>
      </w:r>
    </w:p>
    <w:p w14:paraId="32B44819" w14:textId="77777777" w:rsidR="00825B26" w:rsidRPr="00A41DA7" w:rsidRDefault="00825B26" w:rsidP="000637AF">
      <w:pPr>
        <w:spacing w:after="12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Žiadame Úrad pre verejné obstarávanie, aby v uvedených verejných obstarávaniach zahájil kontrolu ex </w:t>
      </w:r>
      <w:proofErr w:type="spellStart"/>
      <w:r w:rsidRPr="00A41DA7">
        <w:rPr>
          <w:rFonts w:ascii="Garamond" w:hAnsi="Garamond"/>
          <w:sz w:val="22"/>
          <w:szCs w:val="22"/>
          <w:lang w:val="sk-SK"/>
        </w:rPr>
        <w:t>offo</w:t>
      </w:r>
      <w:proofErr w:type="spellEnd"/>
      <w:r w:rsidRPr="00A41DA7">
        <w:rPr>
          <w:rFonts w:ascii="Garamond" w:hAnsi="Garamond"/>
          <w:sz w:val="22"/>
          <w:szCs w:val="22"/>
          <w:lang w:val="sk-SK"/>
        </w:rPr>
        <w:t xml:space="preserve">. Žiadame o informáciu o spôsobe vybavenia tohto podnetu. </w:t>
      </w:r>
    </w:p>
    <w:p w14:paraId="493EB9BA" w14:textId="7B509265" w:rsidR="000637AF" w:rsidRPr="00A41DA7" w:rsidRDefault="00DA4934" w:rsidP="000637AF">
      <w:pPr>
        <w:pStyle w:val="Odsekzoznamu"/>
        <w:numPr>
          <w:ilvl w:val="0"/>
          <w:numId w:val="12"/>
        </w:numPr>
        <w:spacing w:before="240" w:after="240"/>
        <w:ind w:left="425" w:hanging="425"/>
        <w:contextualSpacing w:val="0"/>
        <w:jc w:val="both"/>
        <w:rPr>
          <w:rFonts w:ascii="Garamond" w:hAnsi="Garamond"/>
          <w:b/>
          <w:sz w:val="22"/>
          <w:szCs w:val="22"/>
          <w:lang w:val="sk-SK"/>
        </w:rPr>
      </w:pPr>
      <w:r>
        <w:rPr>
          <w:rFonts w:ascii="Garamond" w:hAnsi="Garamond"/>
          <w:b/>
          <w:sz w:val="22"/>
          <w:szCs w:val="22"/>
          <w:lang w:val="sk-SK"/>
        </w:rPr>
        <w:t>Porušenie princípu transparentnosti</w:t>
      </w:r>
    </w:p>
    <w:p w14:paraId="00BD765E" w14:textId="04EB953D" w:rsidR="004B2D69" w:rsidRPr="00665518" w:rsidRDefault="00DA4934" w:rsidP="00B0360E">
      <w:pPr>
        <w:pStyle w:val="Odsekzoznamu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665518">
        <w:rPr>
          <w:rFonts w:ascii="Garamond" w:hAnsi="Garamond"/>
          <w:sz w:val="22"/>
          <w:szCs w:val="22"/>
          <w:lang w:val="sk-SK"/>
        </w:rPr>
        <w:t xml:space="preserve">Princíp transparentnosti má zabezpečiť predvídateľnosť konania verejného obstarávateľa a obstarávateľa a zároveň </w:t>
      </w:r>
      <w:proofErr w:type="spellStart"/>
      <w:r w:rsidRPr="00665518">
        <w:rPr>
          <w:rFonts w:ascii="Garamond" w:hAnsi="Garamond"/>
          <w:sz w:val="22"/>
          <w:szCs w:val="22"/>
          <w:lang w:val="sk-SK"/>
        </w:rPr>
        <w:t>preskúmateľnosť</w:t>
      </w:r>
      <w:proofErr w:type="spellEnd"/>
      <w:r w:rsidRPr="00665518">
        <w:rPr>
          <w:rFonts w:ascii="Garamond" w:hAnsi="Garamond"/>
          <w:sz w:val="22"/>
          <w:szCs w:val="22"/>
          <w:lang w:val="sk-SK"/>
        </w:rPr>
        <w:t xml:space="preserve">. Teda je potrebné, aby všetky podmienky a pravidlá zadávania konkrétnej zákazky boli vyjadrené jasne, presne a jednoznačne. </w:t>
      </w:r>
    </w:p>
    <w:p w14:paraId="29353E8C" w14:textId="006A68B5" w:rsidR="00665518" w:rsidRDefault="00DA4934" w:rsidP="00665518">
      <w:pPr>
        <w:pStyle w:val="Odsekzoznamu"/>
        <w:numPr>
          <w:ilvl w:val="0"/>
          <w:numId w:val="9"/>
        </w:numPr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665518">
        <w:rPr>
          <w:rFonts w:ascii="Garamond" w:hAnsi="Garamond"/>
          <w:sz w:val="22"/>
          <w:szCs w:val="22"/>
          <w:lang w:val="sk-SK"/>
        </w:rPr>
        <w:t xml:space="preserve">Máme za to, že konaním kontrolovaného prišlo k porušeniu princípu transparentnosti, nakoľko </w:t>
      </w:r>
      <w:r w:rsidR="00345D05" w:rsidRPr="00665518">
        <w:rPr>
          <w:rFonts w:ascii="Garamond" w:hAnsi="Garamond"/>
          <w:sz w:val="22"/>
          <w:szCs w:val="22"/>
          <w:lang w:val="sk-SK"/>
        </w:rPr>
        <w:t xml:space="preserve">podľa nášho názoru nedostatočne špecifikoval podmienky účasti vo verejnom </w:t>
      </w:r>
      <w:r w:rsidR="00665518" w:rsidRPr="00665518">
        <w:rPr>
          <w:rFonts w:ascii="Garamond" w:hAnsi="Garamond"/>
          <w:sz w:val="22"/>
          <w:szCs w:val="22"/>
          <w:lang w:val="sk-SK"/>
        </w:rPr>
        <w:t>obstarávaní</w:t>
      </w:r>
      <w:r w:rsidR="00665518">
        <w:rPr>
          <w:rFonts w:ascii="Garamond" w:hAnsi="Garamond"/>
          <w:sz w:val="22"/>
          <w:szCs w:val="22"/>
          <w:lang w:val="sk-SK"/>
        </w:rPr>
        <w:t>, pričom sa odvolávame na argumentáciu Úradu pre verejné obstarávanie, ktorú použil vo svojom rozhodnutí.</w:t>
      </w:r>
      <w:r w:rsidR="00665518" w:rsidRPr="00665518">
        <w:rPr>
          <w:rFonts w:ascii="Garamond" w:hAnsi="Garamond"/>
          <w:sz w:val="22"/>
          <w:szCs w:val="22"/>
          <w:lang w:val="sk-SK"/>
        </w:rPr>
        <w:t xml:space="preserve"> </w:t>
      </w:r>
      <w:r w:rsidR="00665518" w:rsidRPr="00665518">
        <w:rPr>
          <w:rFonts w:ascii="Garamond" w:hAnsi="Garamond"/>
          <w:i/>
          <w:sz w:val="22"/>
          <w:szCs w:val="22"/>
          <w:lang w:val="sk-SK"/>
        </w:rPr>
        <w:t>„V zmysle ustanovenia § 42 zákona o verejnom obstarávaní verejný obstarávateľ vymedzí predmet zákazky tak, aby spĺňal ním určený účel, a to prostredníctvom podrobného opisu predmetu zákazky s uvedením špecifikácií požadovaného predmetu. Predmet zákazky má byť vymedzený jednoznačne, zrozumiteľne, úplne a nestranne, pričom požiadavky majú byť určené tak, aby zabezpečili rovnaký prístup pre všetkých uchádzačov/záujemcov, a aby bola zabezpečená riadna hospodárska súťaž. Kvalitne vypracované súťažné podklady sú základnou podmienkou na vypracovanie kvalitnej ponuky a následne pre uzavretie obojstranne vyváženej zmluvy. Nepresne opísaný predmet zákazky má vplyv na spôsob tvorby ceny a nemusí zabezpečiť výber ponuky, ktorý by odrážal jeden zo základných princípov verejného obstarávania, a to princíp hospodárnosti v zmysle § 10 ods. 2 zákona o verejnom obstarávaní. Podklady pre vypracovanie ponúk na stavebné práce musia byť jednoznačné, transparentné a úplné.“</w:t>
      </w:r>
      <w:r w:rsidR="00665518" w:rsidRPr="00665518">
        <w:rPr>
          <w:rStyle w:val="Odkaznapoznmkupodiarou"/>
          <w:rFonts w:ascii="Garamond" w:hAnsi="Garamond"/>
          <w:i/>
          <w:sz w:val="22"/>
          <w:szCs w:val="22"/>
          <w:lang w:val="sk-SK"/>
        </w:rPr>
        <w:footnoteReference w:id="1"/>
      </w:r>
      <w:r w:rsidR="00665518" w:rsidRPr="00665518">
        <w:rPr>
          <w:rFonts w:ascii="Garamond" w:hAnsi="Garamond"/>
          <w:i/>
          <w:sz w:val="22"/>
          <w:szCs w:val="22"/>
          <w:lang w:val="sk-SK"/>
        </w:rPr>
        <w:t xml:space="preserve"> </w:t>
      </w:r>
      <w:r w:rsidR="00665518">
        <w:rPr>
          <w:rFonts w:ascii="Garamond" w:hAnsi="Garamond"/>
          <w:sz w:val="22"/>
          <w:szCs w:val="22"/>
          <w:lang w:val="sk-SK"/>
        </w:rPr>
        <w:t xml:space="preserve">Na základe uvedeného máme za to, že podmienky neboli splnené a ani dodatočná náprava nepriniesla súlad so Zákonom o verejnom obstarávaní. </w:t>
      </w:r>
    </w:p>
    <w:p w14:paraId="717AB4ED" w14:textId="5B5AC76C" w:rsidR="000637AF" w:rsidRPr="00A41DA7" w:rsidRDefault="0032447E" w:rsidP="00CA5A6F">
      <w:pPr>
        <w:pStyle w:val="Odsekzoznamu"/>
        <w:keepNext/>
        <w:keepLines/>
        <w:numPr>
          <w:ilvl w:val="0"/>
          <w:numId w:val="12"/>
        </w:numPr>
        <w:spacing w:before="240" w:after="240"/>
        <w:ind w:left="425" w:hanging="425"/>
        <w:contextualSpacing w:val="0"/>
        <w:jc w:val="both"/>
        <w:rPr>
          <w:rFonts w:ascii="Garamond" w:hAnsi="Garamond"/>
          <w:b/>
          <w:sz w:val="22"/>
          <w:szCs w:val="22"/>
          <w:lang w:val="sk-SK"/>
        </w:rPr>
      </w:pPr>
      <w:r w:rsidRPr="00A41DA7">
        <w:rPr>
          <w:rFonts w:ascii="Garamond" w:hAnsi="Garamond"/>
          <w:b/>
          <w:sz w:val="22"/>
          <w:szCs w:val="22"/>
          <w:lang w:val="sk-SK"/>
        </w:rPr>
        <w:lastRenderedPageBreak/>
        <w:t xml:space="preserve">Nepriame </w:t>
      </w:r>
      <w:r w:rsidR="00A910A3">
        <w:rPr>
          <w:rFonts w:ascii="Garamond" w:hAnsi="Garamond"/>
          <w:b/>
          <w:sz w:val="22"/>
          <w:szCs w:val="22"/>
          <w:lang w:val="sk-SK"/>
        </w:rPr>
        <w:t xml:space="preserve">a priame </w:t>
      </w:r>
      <w:r w:rsidRPr="00A41DA7">
        <w:rPr>
          <w:rFonts w:ascii="Garamond" w:hAnsi="Garamond"/>
          <w:b/>
          <w:sz w:val="22"/>
          <w:szCs w:val="22"/>
          <w:lang w:val="sk-SK"/>
        </w:rPr>
        <w:t>odkazy na konkrétne výrobky a výrobcov</w:t>
      </w:r>
    </w:p>
    <w:p w14:paraId="2CBC4EEE" w14:textId="095AC9C1" w:rsidR="00F83644" w:rsidRPr="00A41DA7" w:rsidRDefault="00F83644" w:rsidP="0032447E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Predmet zákazky je vyšpecifikovaný </w:t>
      </w:r>
      <w:r w:rsidR="005646A2">
        <w:rPr>
          <w:rFonts w:ascii="Garamond" w:hAnsi="Garamond"/>
          <w:sz w:val="22"/>
          <w:szCs w:val="22"/>
          <w:lang w:val="sk-SK"/>
        </w:rPr>
        <w:t>v súťažných podkladoch, ktoré</w:t>
      </w:r>
      <w:r w:rsidR="00B53654">
        <w:rPr>
          <w:rFonts w:ascii="Garamond" w:hAnsi="Garamond"/>
          <w:sz w:val="22"/>
          <w:szCs w:val="22"/>
          <w:lang w:val="sk-SK"/>
        </w:rPr>
        <w:t xml:space="preserve"> prikladáme.</w:t>
      </w:r>
    </w:p>
    <w:p w14:paraId="0568F7E2" w14:textId="61DEED9B" w:rsidR="0085283F" w:rsidRDefault="00F83644" w:rsidP="00590171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V opise predmetu zákazky sú použité priame odkazy na technológie. </w:t>
      </w:r>
      <w:r w:rsidR="00A05A78">
        <w:rPr>
          <w:rFonts w:ascii="Garamond" w:hAnsi="Garamond"/>
          <w:sz w:val="22"/>
          <w:szCs w:val="22"/>
          <w:lang w:val="sk-SK"/>
        </w:rPr>
        <w:t xml:space="preserve">Konkrétne spomína spojenia </w:t>
      </w:r>
      <w:proofErr w:type="spellStart"/>
      <w:r w:rsidR="00A05A78">
        <w:rPr>
          <w:rFonts w:ascii="Garamond" w:hAnsi="Garamond"/>
          <w:sz w:val="22"/>
          <w:szCs w:val="22"/>
          <w:lang w:val="sk-SK"/>
        </w:rPr>
        <w:t>LightCatcher</w:t>
      </w:r>
      <w:proofErr w:type="spellEnd"/>
      <w:r w:rsidR="009864CD">
        <w:rPr>
          <w:rStyle w:val="Odkaznapoznmkupodiarou"/>
          <w:rFonts w:ascii="Garamond" w:hAnsi="Garamond"/>
          <w:sz w:val="22"/>
          <w:szCs w:val="22"/>
          <w:lang w:val="sk-SK"/>
        </w:rPr>
        <w:footnoteReference w:id="2"/>
      </w:r>
      <w:r w:rsidR="00A05A78">
        <w:rPr>
          <w:rFonts w:ascii="Garamond" w:hAnsi="Garamond"/>
          <w:sz w:val="22"/>
          <w:szCs w:val="22"/>
          <w:lang w:val="sk-SK"/>
        </w:rPr>
        <w:t xml:space="preserve">, konfigurácia prostredníctvom </w:t>
      </w:r>
      <w:proofErr w:type="spellStart"/>
      <w:r w:rsidR="00A05A78">
        <w:rPr>
          <w:rFonts w:ascii="Garamond" w:hAnsi="Garamond"/>
          <w:sz w:val="22"/>
          <w:szCs w:val="22"/>
          <w:lang w:val="sk-SK"/>
        </w:rPr>
        <w:t>Wifi</w:t>
      </w:r>
      <w:proofErr w:type="spellEnd"/>
      <w:r w:rsidR="00A05A78">
        <w:rPr>
          <w:rFonts w:ascii="Garamond" w:hAnsi="Garamond"/>
          <w:sz w:val="22"/>
          <w:szCs w:val="22"/>
          <w:lang w:val="sk-SK"/>
        </w:rPr>
        <w:t xml:space="preserve"> či ATS, DGP, RAS alebo produkt HDSM. Všetky </w:t>
      </w:r>
      <w:r w:rsidR="00A05A78" w:rsidRPr="003D73C9">
        <w:rPr>
          <w:rFonts w:ascii="Garamond" w:hAnsi="Garamond"/>
          <w:sz w:val="22"/>
          <w:szCs w:val="22"/>
          <w:lang w:val="sk-SK"/>
        </w:rPr>
        <w:t xml:space="preserve">uvedené produkty ponúka len spoločnosť </w:t>
      </w:r>
      <w:proofErr w:type="spellStart"/>
      <w:r w:rsidR="00A05A78" w:rsidRPr="003D73C9">
        <w:rPr>
          <w:rFonts w:ascii="Garamond" w:hAnsi="Garamond"/>
          <w:sz w:val="22"/>
          <w:szCs w:val="22"/>
          <w:lang w:val="sk-SK"/>
        </w:rPr>
        <w:t>Avigilon</w:t>
      </w:r>
      <w:proofErr w:type="spellEnd"/>
      <w:r w:rsidR="00A05A78" w:rsidRPr="003D73C9">
        <w:rPr>
          <w:rFonts w:ascii="Garamond" w:hAnsi="Garamond"/>
          <w:sz w:val="22"/>
          <w:szCs w:val="22"/>
          <w:lang w:val="sk-SK"/>
        </w:rPr>
        <w:t xml:space="preserve">. </w:t>
      </w:r>
      <w:r w:rsidR="00F77B76">
        <w:rPr>
          <w:rFonts w:ascii="Garamond" w:hAnsi="Garamond"/>
          <w:sz w:val="22"/>
          <w:szCs w:val="22"/>
          <w:lang w:val="sk-SK"/>
        </w:rPr>
        <w:t>Taktiež ďalšie rôzne funkcionality, n</w:t>
      </w:r>
      <w:r w:rsidR="003D73C9" w:rsidRPr="003D73C9">
        <w:rPr>
          <w:rFonts w:ascii="Garamond" w:hAnsi="Garamond"/>
          <w:sz w:val="22"/>
          <w:szCs w:val="22"/>
          <w:lang w:val="sk-SK"/>
        </w:rPr>
        <w:t>apríklad</w:t>
      </w:r>
      <w:r w:rsidR="0085283F">
        <w:rPr>
          <w:rFonts w:ascii="Garamond" w:hAnsi="Garamond"/>
          <w:sz w:val="22"/>
          <w:szCs w:val="22"/>
          <w:lang w:val="sk-SK"/>
        </w:rPr>
        <w:t>:</w:t>
      </w:r>
      <w:r w:rsidR="003D73C9" w:rsidRPr="003D73C9">
        <w:rPr>
          <w:rFonts w:ascii="Garamond" w:hAnsi="Garamond"/>
          <w:sz w:val="22"/>
          <w:szCs w:val="22"/>
          <w:lang w:val="sk-SK"/>
        </w:rPr>
        <w:t xml:space="preserve"> </w:t>
      </w:r>
    </w:p>
    <w:p w14:paraId="6423DFF2" w14:textId="1702A834" w:rsidR="0085283F" w:rsidRDefault="0085283F" w:rsidP="0085283F">
      <w:pPr>
        <w:pStyle w:val="Odsekzoznamu"/>
        <w:keepNext/>
        <w:keepLines/>
        <w:spacing w:after="120"/>
        <w:ind w:left="708" w:hanging="283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-</w:t>
      </w:r>
      <w:r>
        <w:rPr>
          <w:rFonts w:ascii="Garamond" w:hAnsi="Garamond"/>
          <w:sz w:val="22"/>
          <w:szCs w:val="22"/>
          <w:lang w:val="sk-SK"/>
        </w:rPr>
        <w:tab/>
      </w:r>
      <w:r w:rsidR="003D73C9" w:rsidRPr="0085283F">
        <w:rPr>
          <w:rFonts w:ascii="Garamond" w:hAnsi="Garamond"/>
          <w:sz w:val="22"/>
          <w:szCs w:val="22"/>
          <w:lang w:val="sk-SK"/>
        </w:rPr>
        <w:t xml:space="preserve">možnosť nastaviť premazanie kvality obrazu po určitom čase (napr. mesiac FULL HD, rok CIF) 256 bitová zašifrovaná komunikácia medzi kamerou a serverom podpora </w:t>
      </w:r>
      <w:proofErr w:type="spellStart"/>
      <w:r w:rsidR="003D73C9" w:rsidRPr="0085283F">
        <w:rPr>
          <w:rFonts w:ascii="Garamond" w:hAnsi="Garamond"/>
          <w:sz w:val="22"/>
          <w:szCs w:val="22"/>
          <w:lang w:val="sk-SK"/>
        </w:rPr>
        <w:t>kodekov</w:t>
      </w:r>
      <w:proofErr w:type="spellEnd"/>
      <w:r w:rsidR="003D73C9" w:rsidRPr="0085283F">
        <w:rPr>
          <w:rFonts w:ascii="Garamond" w:hAnsi="Garamond"/>
          <w:sz w:val="22"/>
          <w:szCs w:val="22"/>
          <w:lang w:val="sk-SK"/>
        </w:rPr>
        <w:t xml:space="preserve"> MJPEG, H.264, H.265, JPEG2000, možnosť spojiť cez klient-server architektúru neobmedzený počet kamier</w:t>
      </w:r>
      <w:r w:rsidR="00DA4934">
        <w:rPr>
          <w:rFonts w:ascii="Garamond" w:hAnsi="Garamond"/>
          <w:sz w:val="22"/>
          <w:szCs w:val="22"/>
          <w:lang w:val="sk-SK"/>
        </w:rPr>
        <w:t>,</w:t>
      </w:r>
      <w:r w:rsidR="009864CD">
        <w:rPr>
          <w:rStyle w:val="Odkaznapoznmkupodiarou"/>
          <w:rFonts w:ascii="Garamond" w:hAnsi="Garamond"/>
          <w:sz w:val="22"/>
          <w:szCs w:val="22"/>
          <w:lang w:val="sk-SK"/>
        </w:rPr>
        <w:footnoteReference w:id="3"/>
      </w:r>
    </w:p>
    <w:p w14:paraId="6B1C2AED" w14:textId="5C8A01CD" w:rsidR="0085283F" w:rsidRDefault="0085283F" w:rsidP="0085283F">
      <w:pPr>
        <w:pStyle w:val="Odsekzoznamu"/>
        <w:keepNext/>
        <w:keepLines/>
        <w:spacing w:after="120"/>
        <w:ind w:left="708" w:hanging="283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-</w:t>
      </w:r>
      <w:r>
        <w:rPr>
          <w:rFonts w:ascii="Garamond" w:hAnsi="Garamond"/>
          <w:sz w:val="22"/>
          <w:szCs w:val="22"/>
          <w:lang w:val="sk-SK"/>
        </w:rPr>
        <w:tab/>
        <w:t xml:space="preserve">automaticky upgrade </w:t>
      </w:r>
      <w:proofErr w:type="spellStart"/>
      <w:r>
        <w:rPr>
          <w:rFonts w:ascii="Garamond" w:hAnsi="Garamond"/>
          <w:sz w:val="22"/>
          <w:szCs w:val="22"/>
          <w:lang w:val="sk-SK"/>
        </w:rPr>
        <w:t>firmwéru</w:t>
      </w:r>
      <w:proofErr w:type="spellEnd"/>
      <w:r>
        <w:rPr>
          <w:rFonts w:ascii="Garamond" w:hAnsi="Garamond"/>
          <w:sz w:val="22"/>
          <w:szCs w:val="22"/>
          <w:lang w:val="sk-SK"/>
        </w:rPr>
        <w:t xml:space="preserve"> na kamerách a </w:t>
      </w:r>
      <w:proofErr w:type="spellStart"/>
      <w:r>
        <w:rPr>
          <w:rFonts w:ascii="Garamond" w:hAnsi="Garamond"/>
          <w:sz w:val="22"/>
          <w:szCs w:val="22"/>
          <w:lang w:val="sk-SK"/>
        </w:rPr>
        <w:t>klientských</w:t>
      </w:r>
      <w:proofErr w:type="spellEnd"/>
      <w:r>
        <w:rPr>
          <w:rFonts w:ascii="Garamond" w:hAnsi="Garamond"/>
          <w:sz w:val="22"/>
          <w:szCs w:val="22"/>
          <w:lang w:val="sk-SK"/>
        </w:rPr>
        <w:t xml:space="preserve"> PC</w:t>
      </w:r>
      <w:r w:rsidR="009864CD">
        <w:rPr>
          <w:rStyle w:val="Odkaznapoznmkupodiarou"/>
          <w:rFonts w:ascii="Garamond" w:hAnsi="Garamond"/>
          <w:sz w:val="22"/>
          <w:szCs w:val="22"/>
          <w:lang w:val="sk-SK"/>
        </w:rPr>
        <w:footnoteReference w:id="4"/>
      </w:r>
      <w:r w:rsidR="00DA4934">
        <w:rPr>
          <w:rFonts w:ascii="Garamond" w:hAnsi="Garamond"/>
          <w:sz w:val="22"/>
          <w:szCs w:val="22"/>
          <w:lang w:val="sk-SK"/>
        </w:rPr>
        <w:t>,</w:t>
      </w:r>
    </w:p>
    <w:p w14:paraId="00475099" w14:textId="141CC298" w:rsidR="0085283F" w:rsidRDefault="0085283F" w:rsidP="0085283F">
      <w:pPr>
        <w:pStyle w:val="Odsekzoznamu"/>
        <w:keepNext/>
        <w:keepLines/>
        <w:spacing w:after="120"/>
        <w:ind w:left="708" w:hanging="283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-</w:t>
      </w:r>
      <w:r>
        <w:rPr>
          <w:rFonts w:ascii="Garamond" w:hAnsi="Garamond"/>
          <w:sz w:val="22"/>
          <w:szCs w:val="22"/>
          <w:lang w:val="sk-SK"/>
        </w:rPr>
        <w:tab/>
        <w:t>možnosť nahradenia kamier v poruche za nové s automatickým prenesením nastavených hodnôt a</w:t>
      </w:r>
      <w:r w:rsidR="00DA4934">
        <w:rPr>
          <w:rFonts w:ascii="Garamond" w:hAnsi="Garamond"/>
          <w:sz w:val="22"/>
          <w:szCs w:val="22"/>
          <w:lang w:val="sk-SK"/>
        </w:rPr>
        <w:t> </w:t>
      </w:r>
      <w:r>
        <w:rPr>
          <w:rFonts w:ascii="Garamond" w:hAnsi="Garamond"/>
          <w:sz w:val="22"/>
          <w:szCs w:val="22"/>
          <w:lang w:val="sk-SK"/>
        </w:rPr>
        <w:t>pravidiel</w:t>
      </w:r>
      <w:r w:rsidR="00DA4934">
        <w:rPr>
          <w:rFonts w:ascii="Garamond" w:hAnsi="Garamond"/>
          <w:sz w:val="22"/>
          <w:szCs w:val="22"/>
          <w:lang w:val="sk-SK"/>
        </w:rPr>
        <w:t>,</w:t>
      </w:r>
    </w:p>
    <w:p w14:paraId="2054E207" w14:textId="2C7F7290" w:rsidR="005646A2" w:rsidRDefault="0085283F" w:rsidP="005646A2">
      <w:pPr>
        <w:pStyle w:val="Odsekzoznamu"/>
        <w:keepNext/>
        <w:keepLines/>
        <w:spacing w:after="120"/>
        <w:ind w:left="708" w:hanging="283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-</w:t>
      </w:r>
      <w:r>
        <w:rPr>
          <w:rFonts w:ascii="Garamond" w:hAnsi="Garamond"/>
          <w:sz w:val="22"/>
          <w:szCs w:val="22"/>
          <w:lang w:val="sk-SK"/>
        </w:rPr>
        <w:tab/>
        <w:t>podpora zobrazenia oblasti záujmov v tzv. včelích plastoch</w:t>
      </w:r>
      <w:r w:rsidR="00E079E0">
        <w:rPr>
          <w:rStyle w:val="Odkaznapoznmkupodiarou"/>
          <w:rFonts w:ascii="Garamond" w:hAnsi="Garamond"/>
          <w:sz w:val="22"/>
          <w:szCs w:val="22"/>
          <w:lang w:val="sk-SK"/>
        </w:rPr>
        <w:footnoteReference w:id="5"/>
      </w:r>
      <w:r w:rsidR="00DA4934">
        <w:rPr>
          <w:rFonts w:ascii="Garamond" w:hAnsi="Garamond"/>
          <w:sz w:val="22"/>
          <w:szCs w:val="22"/>
          <w:lang w:val="sk-SK"/>
        </w:rPr>
        <w:t>.</w:t>
      </w:r>
    </w:p>
    <w:p w14:paraId="305ABF47" w14:textId="4D9A4DB4" w:rsidR="005646A2" w:rsidRPr="005646A2" w:rsidRDefault="005646A2" w:rsidP="005646A2">
      <w:pPr>
        <w:pStyle w:val="Odsekzoznamu"/>
        <w:keepNext/>
        <w:keepLines/>
        <w:spacing w:after="120"/>
        <w:ind w:left="426" w:hanging="1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Taktiež kontrolovaný požaduje v súťažných podkladoch</w:t>
      </w:r>
      <w:r w:rsidR="00BC1BEE">
        <w:rPr>
          <w:rFonts w:ascii="Garamond" w:hAnsi="Garamond"/>
          <w:sz w:val="22"/>
          <w:szCs w:val="22"/>
          <w:lang w:val="sk-SK"/>
        </w:rPr>
        <w:t xml:space="preserve"> systém</w:t>
      </w:r>
      <w:bookmarkStart w:id="0" w:name="_GoBack"/>
      <w:bookmarkEnd w:id="0"/>
      <w:r>
        <w:rPr>
          <w:rFonts w:ascii="Garamond" w:hAnsi="Garamond"/>
          <w:sz w:val="22"/>
          <w:szCs w:val="22"/>
          <w:lang w:val="sk-SK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sk-SK"/>
        </w:rPr>
        <w:t>A</w:t>
      </w:r>
      <w:r w:rsidR="00BC1BEE">
        <w:rPr>
          <w:rFonts w:ascii="Garamond" w:hAnsi="Garamond"/>
          <w:sz w:val="22"/>
          <w:szCs w:val="22"/>
          <w:lang w:val="sk-SK"/>
        </w:rPr>
        <w:t>vigilon</w:t>
      </w:r>
      <w:proofErr w:type="spellEnd"/>
      <w:r w:rsidR="00BC1BEE">
        <w:rPr>
          <w:rFonts w:ascii="Garamond" w:hAnsi="Garamond"/>
          <w:sz w:val="22"/>
          <w:szCs w:val="22"/>
          <w:lang w:val="sk-SK"/>
        </w:rPr>
        <w:t xml:space="preserve"> </w:t>
      </w:r>
      <w:proofErr w:type="spellStart"/>
      <w:r w:rsidR="00BC1BEE">
        <w:rPr>
          <w:rFonts w:ascii="Garamond" w:hAnsi="Garamond"/>
          <w:sz w:val="22"/>
          <w:szCs w:val="22"/>
          <w:lang w:val="sk-SK"/>
        </w:rPr>
        <w:t>Control</w:t>
      </w:r>
      <w:proofErr w:type="spellEnd"/>
      <w:r w:rsidR="00BC1BEE">
        <w:rPr>
          <w:rFonts w:ascii="Garamond" w:hAnsi="Garamond"/>
          <w:sz w:val="22"/>
          <w:szCs w:val="22"/>
          <w:lang w:val="sk-SK"/>
        </w:rPr>
        <w:t xml:space="preserve"> Center 6, prípadne aj</w:t>
      </w:r>
      <w:r>
        <w:rPr>
          <w:rFonts w:ascii="Garamond" w:hAnsi="Garamond"/>
          <w:sz w:val="22"/>
          <w:szCs w:val="22"/>
          <w:lang w:val="sk-SK"/>
        </w:rPr>
        <w:t xml:space="preserve"> staršie, pričom podpora tohto systému bude ukončená k dátumu 30.09.2021 a nebude možné po tomto dátume poskytnúť podporu alebo opravu chýb tohto softvéru.</w:t>
      </w:r>
      <w:r>
        <w:rPr>
          <w:rStyle w:val="Odkaznapoznmkupodiarou"/>
          <w:rFonts w:ascii="Garamond" w:hAnsi="Garamond"/>
          <w:sz w:val="22"/>
          <w:szCs w:val="22"/>
          <w:lang w:val="sk-SK"/>
        </w:rPr>
        <w:footnoteReference w:id="6"/>
      </w:r>
      <w:r>
        <w:rPr>
          <w:rFonts w:ascii="Garamond" w:hAnsi="Garamond"/>
          <w:sz w:val="22"/>
          <w:szCs w:val="22"/>
          <w:lang w:val="sk-SK"/>
        </w:rPr>
        <w:t xml:space="preserve"> </w:t>
      </w:r>
    </w:p>
    <w:p w14:paraId="2C1E029A" w14:textId="4631CE2C" w:rsidR="00F91A39" w:rsidRPr="00F91A39" w:rsidRDefault="003D73C9" w:rsidP="00F91A39">
      <w:pPr>
        <w:pStyle w:val="Odsekzoznamu"/>
        <w:keepNext/>
        <w:keepLines/>
        <w:spacing w:after="120"/>
        <w:ind w:left="426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3D73C9">
        <w:rPr>
          <w:rFonts w:ascii="Garamond" w:hAnsi="Garamond"/>
          <w:sz w:val="22"/>
          <w:szCs w:val="22"/>
          <w:lang w:val="sk-SK"/>
        </w:rPr>
        <w:t>D</w:t>
      </w:r>
      <w:r w:rsidR="0085283F">
        <w:rPr>
          <w:rFonts w:ascii="Garamond" w:hAnsi="Garamond"/>
          <w:sz w:val="22"/>
          <w:szCs w:val="22"/>
          <w:lang w:val="sk-SK"/>
        </w:rPr>
        <w:t>ané</w:t>
      </w:r>
      <w:r w:rsidRPr="003D73C9">
        <w:rPr>
          <w:rFonts w:ascii="Garamond" w:hAnsi="Garamond"/>
          <w:sz w:val="22"/>
          <w:szCs w:val="22"/>
          <w:lang w:val="sk-SK"/>
        </w:rPr>
        <w:t xml:space="preserve"> funkcionalit</w:t>
      </w:r>
      <w:r w:rsidR="0085283F">
        <w:rPr>
          <w:rFonts w:ascii="Garamond" w:hAnsi="Garamond"/>
          <w:sz w:val="22"/>
          <w:szCs w:val="22"/>
          <w:lang w:val="sk-SK"/>
        </w:rPr>
        <w:t>y</w:t>
      </w:r>
      <w:r w:rsidRPr="003D73C9">
        <w:rPr>
          <w:rFonts w:ascii="Garamond" w:hAnsi="Garamond"/>
          <w:sz w:val="22"/>
          <w:szCs w:val="22"/>
          <w:lang w:val="sk-SK"/>
        </w:rPr>
        <w:t xml:space="preserve"> </w:t>
      </w:r>
      <w:r w:rsidR="0085283F">
        <w:rPr>
          <w:rFonts w:ascii="Garamond" w:hAnsi="Garamond"/>
          <w:sz w:val="22"/>
          <w:szCs w:val="22"/>
          <w:lang w:val="sk-SK"/>
        </w:rPr>
        <w:t>sú známe</w:t>
      </w:r>
      <w:r w:rsidRPr="003D73C9">
        <w:rPr>
          <w:rFonts w:ascii="Garamond" w:hAnsi="Garamond"/>
          <w:sz w:val="22"/>
          <w:szCs w:val="22"/>
          <w:lang w:val="sk-SK"/>
        </w:rPr>
        <w:t xml:space="preserve"> iba softvéru od spoločnosti </w:t>
      </w:r>
      <w:proofErr w:type="spellStart"/>
      <w:r w:rsidRPr="003D73C9">
        <w:rPr>
          <w:rFonts w:ascii="Garamond" w:hAnsi="Garamond"/>
          <w:sz w:val="22"/>
          <w:szCs w:val="22"/>
          <w:lang w:val="sk-SK"/>
        </w:rPr>
        <w:t>Avigilon</w:t>
      </w:r>
      <w:proofErr w:type="spellEnd"/>
      <w:r w:rsidR="0085283F">
        <w:rPr>
          <w:rFonts w:ascii="Garamond" w:hAnsi="Garamond"/>
          <w:sz w:val="22"/>
          <w:szCs w:val="22"/>
          <w:lang w:val="sk-SK"/>
        </w:rPr>
        <w:t xml:space="preserve"> v spojení s kamerami danej spoločnosti</w:t>
      </w:r>
      <w:r w:rsidRPr="003D73C9">
        <w:rPr>
          <w:rFonts w:ascii="Garamond" w:hAnsi="Garamond"/>
          <w:sz w:val="22"/>
          <w:szCs w:val="22"/>
          <w:lang w:val="sk-SK"/>
        </w:rPr>
        <w:t>. Taktiež formát JPEG2000</w:t>
      </w:r>
      <w:r w:rsidR="0085283F">
        <w:rPr>
          <w:rFonts w:ascii="Garamond" w:hAnsi="Garamond"/>
          <w:sz w:val="22"/>
          <w:szCs w:val="22"/>
          <w:lang w:val="sk-SK"/>
        </w:rPr>
        <w:t xml:space="preserve"> je starý </w:t>
      </w:r>
      <w:r w:rsidR="00665518">
        <w:rPr>
          <w:rFonts w:ascii="Garamond" w:hAnsi="Garamond"/>
          <w:sz w:val="22"/>
          <w:szCs w:val="22"/>
          <w:lang w:val="sk-SK"/>
        </w:rPr>
        <w:t>formát, ktorý sa</w:t>
      </w:r>
      <w:r w:rsidRPr="003D73C9">
        <w:rPr>
          <w:rFonts w:ascii="Garamond" w:hAnsi="Garamond"/>
          <w:sz w:val="22"/>
          <w:szCs w:val="22"/>
          <w:lang w:val="sk-SK"/>
        </w:rPr>
        <w:t xml:space="preserve"> už</w:t>
      </w:r>
      <w:r w:rsidR="00665518">
        <w:rPr>
          <w:rFonts w:ascii="Garamond" w:hAnsi="Garamond"/>
          <w:sz w:val="22"/>
          <w:szCs w:val="22"/>
          <w:lang w:val="sk-SK"/>
        </w:rPr>
        <w:t xml:space="preserve"> dnes</w:t>
      </w:r>
      <w:r w:rsidRPr="003D73C9">
        <w:rPr>
          <w:rFonts w:ascii="Garamond" w:hAnsi="Garamond"/>
          <w:sz w:val="22"/>
          <w:szCs w:val="22"/>
          <w:lang w:val="sk-SK"/>
        </w:rPr>
        <w:t xml:space="preserve"> nevyužíva. Daným konaním kontrolovaného prichádza k porušeniu povinností</w:t>
      </w:r>
      <w:r w:rsidR="00665518">
        <w:rPr>
          <w:rFonts w:ascii="Garamond" w:hAnsi="Garamond"/>
          <w:sz w:val="22"/>
          <w:szCs w:val="22"/>
          <w:lang w:val="sk-SK"/>
        </w:rPr>
        <w:t xml:space="preserve"> ohľadom</w:t>
      </w:r>
      <w:r w:rsidRPr="003D73C9">
        <w:rPr>
          <w:rFonts w:ascii="Garamond" w:hAnsi="Garamond"/>
          <w:sz w:val="22"/>
          <w:szCs w:val="22"/>
          <w:lang w:val="sk-SK"/>
        </w:rPr>
        <w:t xml:space="preserve"> zadávania zákaziek, nakoľko uvádzaním už zastaraných systémov porušuje povinnosti ustanovené zákonom pre opis predmetu zákazky. Pri opise predmetu zákazky je potrebné, aby </w:t>
      </w:r>
      <w:r>
        <w:rPr>
          <w:rFonts w:ascii="Garamond" w:hAnsi="Garamond"/>
          <w:sz w:val="22"/>
          <w:szCs w:val="22"/>
          <w:lang w:val="sk-SK"/>
        </w:rPr>
        <w:t xml:space="preserve">verejný obstarávateľ alebo obstarávateľ </w:t>
      </w:r>
      <w:r w:rsidR="0085283F">
        <w:rPr>
          <w:rFonts w:ascii="Garamond" w:hAnsi="Garamond"/>
          <w:sz w:val="22"/>
          <w:szCs w:val="22"/>
          <w:lang w:val="sk-SK"/>
        </w:rPr>
        <w:t>zohľadnil</w:t>
      </w:r>
      <w:r>
        <w:rPr>
          <w:rFonts w:ascii="Garamond" w:hAnsi="Garamond"/>
          <w:sz w:val="22"/>
          <w:szCs w:val="22"/>
          <w:lang w:val="sk-SK"/>
        </w:rPr>
        <w:t xml:space="preserve"> </w:t>
      </w:r>
      <w:r w:rsidR="0085283F">
        <w:rPr>
          <w:rFonts w:ascii="Garamond" w:hAnsi="Garamond"/>
          <w:sz w:val="22"/>
          <w:szCs w:val="22"/>
          <w:lang w:val="sk-SK"/>
        </w:rPr>
        <w:t>plánovanú</w:t>
      </w:r>
      <w:r>
        <w:rPr>
          <w:rFonts w:ascii="Garamond" w:hAnsi="Garamond"/>
          <w:sz w:val="22"/>
          <w:szCs w:val="22"/>
          <w:lang w:val="sk-SK"/>
        </w:rPr>
        <w:t xml:space="preserve"> </w:t>
      </w:r>
      <w:r w:rsidR="0085283F">
        <w:rPr>
          <w:rFonts w:ascii="Garamond" w:hAnsi="Garamond"/>
          <w:sz w:val="22"/>
          <w:szCs w:val="22"/>
          <w:lang w:val="sk-SK"/>
        </w:rPr>
        <w:t>dĺžku</w:t>
      </w:r>
      <w:r>
        <w:rPr>
          <w:rFonts w:ascii="Garamond" w:hAnsi="Garamond"/>
          <w:sz w:val="22"/>
          <w:szCs w:val="22"/>
          <w:lang w:val="sk-SK"/>
        </w:rPr>
        <w:t xml:space="preserve"> využívania </w:t>
      </w:r>
      <w:r w:rsidR="0085283F">
        <w:rPr>
          <w:rFonts w:ascii="Garamond" w:hAnsi="Garamond"/>
          <w:sz w:val="22"/>
          <w:szCs w:val="22"/>
          <w:lang w:val="sk-SK"/>
        </w:rPr>
        <w:t>produktu</w:t>
      </w:r>
      <w:r>
        <w:rPr>
          <w:rFonts w:ascii="Garamond" w:hAnsi="Garamond"/>
          <w:sz w:val="22"/>
          <w:szCs w:val="22"/>
          <w:lang w:val="sk-SK"/>
        </w:rPr>
        <w:t xml:space="preserve">, jeho prípadnú likvidáciu, náklady súvisiace s údržbou, nasadením do prevádzky a pod. </w:t>
      </w:r>
      <w:r w:rsidR="0085283F">
        <w:rPr>
          <w:rFonts w:ascii="Garamond" w:hAnsi="Garamond"/>
          <w:sz w:val="22"/>
          <w:szCs w:val="22"/>
          <w:lang w:val="sk-SK"/>
        </w:rPr>
        <w:t>Z uvedeného vyplýva, že by malo ísť o snahu zachytiť celý životný cyklus predmetu zákazky, či už ide o tovar, službu alebo stavebn</w:t>
      </w:r>
      <w:r w:rsidR="00646577">
        <w:rPr>
          <w:rFonts w:ascii="Garamond" w:hAnsi="Garamond"/>
          <w:sz w:val="22"/>
          <w:szCs w:val="22"/>
          <w:lang w:val="sk-SK"/>
        </w:rPr>
        <w:t>é práce. Máme za to, že uvedením</w:t>
      </w:r>
      <w:r w:rsidR="0085283F">
        <w:rPr>
          <w:rFonts w:ascii="Garamond" w:hAnsi="Garamond"/>
          <w:sz w:val="22"/>
          <w:szCs w:val="22"/>
          <w:lang w:val="sk-SK"/>
        </w:rPr>
        <w:t xml:space="preserve"> zastaraný</w:t>
      </w:r>
      <w:r w:rsidR="00646577">
        <w:rPr>
          <w:rFonts w:ascii="Garamond" w:hAnsi="Garamond"/>
          <w:sz w:val="22"/>
          <w:szCs w:val="22"/>
          <w:lang w:val="sk-SK"/>
        </w:rPr>
        <w:t>ch funkcionalít a systémov dochádza k porušeniu princípov verejného obstarávania</w:t>
      </w:r>
      <w:r w:rsidR="00F77B76">
        <w:rPr>
          <w:rFonts w:ascii="Garamond" w:hAnsi="Garamond"/>
          <w:sz w:val="22"/>
          <w:szCs w:val="22"/>
          <w:lang w:val="sk-SK"/>
        </w:rPr>
        <w:t>.</w:t>
      </w:r>
      <w:r w:rsidR="0085283F">
        <w:rPr>
          <w:rFonts w:ascii="Garamond" w:hAnsi="Garamond"/>
          <w:sz w:val="22"/>
          <w:szCs w:val="22"/>
          <w:lang w:val="sk-SK"/>
        </w:rPr>
        <w:t xml:space="preserve"> </w:t>
      </w:r>
      <w:r w:rsidR="00F77B76">
        <w:rPr>
          <w:rFonts w:ascii="Garamond" w:hAnsi="Garamond"/>
          <w:sz w:val="22"/>
          <w:szCs w:val="22"/>
          <w:lang w:val="sk-SK"/>
        </w:rPr>
        <w:t>V konečnom</w:t>
      </w:r>
      <w:r w:rsidR="0085283F">
        <w:rPr>
          <w:rFonts w:ascii="Garamond" w:hAnsi="Garamond"/>
          <w:sz w:val="22"/>
          <w:szCs w:val="22"/>
          <w:lang w:val="sk-SK"/>
        </w:rPr>
        <w:t xml:space="preserve"> dôsledku</w:t>
      </w:r>
      <w:r w:rsidR="00F77B76">
        <w:rPr>
          <w:rFonts w:ascii="Garamond" w:hAnsi="Garamond"/>
          <w:sz w:val="22"/>
          <w:szCs w:val="22"/>
          <w:lang w:val="sk-SK"/>
        </w:rPr>
        <w:t xml:space="preserve">, keďže kontrolovaný nezohľadnil dané predpoklady pri opise predmetu zákazky, uvedené môže v budúcnosti priniesť </w:t>
      </w:r>
      <w:r w:rsidR="0085283F">
        <w:rPr>
          <w:rFonts w:ascii="Garamond" w:hAnsi="Garamond"/>
          <w:sz w:val="22"/>
          <w:szCs w:val="22"/>
          <w:lang w:val="sk-SK"/>
        </w:rPr>
        <w:t>zvýšené náklady</w:t>
      </w:r>
      <w:r w:rsidR="00F77B76">
        <w:rPr>
          <w:rFonts w:ascii="Garamond" w:hAnsi="Garamond"/>
          <w:sz w:val="22"/>
          <w:szCs w:val="22"/>
          <w:lang w:val="sk-SK"/>
        </w:rPr>
        <w:t>, napríklad na renováciu systémov a funkcionalít alebo ich údržbu.</w:t>
      </w:r>
    </w:p>
    <w:p w14:paraId="3266EC74" w14:textId="07820EE7" w:rsidR="00F83644" w:rsidRDefault="00F91A39" w:rsidP="0032447E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Od vyhlásenia verejného obstarávania prišlo k viacerým úpravám súťažných podkladov a opisu predmetu zákazky. Avšak tým, že od začiatku boli podmienky nastavené tak, že splniť ich mohol len úzky okruh spoločností, tak nedostatky sa nedarí odstrániť ani následnými úpravami.</w:t>
      </w:r>
    </w:p>
    <w:p w14:paraId="2382691E" w14:textId="6952AE64" w:rsidR="00F91A39" w:rsidRDefault="00F91A39" w:rsidP="0032447E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>
        <w:rPr>
          <w:rFonts w:ascii="Garamond" w:hAnsi="Garamond"/>
          <w:sz w:val="22"/>
          <w:szCs w:val="22"/>
          <w:lang w:val="sk-SK"/>
        </w:rPr>
        <w:t>Kontrolovaný po viacerých doplneniach uviedol pri niektorých požiadavkách aj minimálne parametre, ktoré bude akceptovať, avšak pre takto nastavený opis a funkcionality na trhu neexistuje ekvivalent, teda nie je možné dodať iné kamery a</w:t>
      </w:r>
      <w:r w:rsidR="001517AB">
        <w:rPr>
          <w:rFonts w:ascii="Garamond" w:hAnsi="Garamond"/>
          <w:sz w:val="22"/>
          <w:szCs w:val="22"/>
          <w:lang w:val="sk-SK"/>
        </w:rPr>
        <w:t> </w:t>
      </w:r>
      <w:r w:rsidR="00F77B76">
        <w:rPr>
          <w:rFonts w:ascii="Garamond" w:hAnsi="Garamond"/>
          <w:sz w:val="22"/>
          <w:szCs w:val="22"/>
          <w:lang w:val="sk-SK"/>
        </w:rPr>
        <w:t>software</w:t>
      </w:r>
      <w:r w:rsidR="001517AB">
        <w:rPr>
          <w:rFonts w:ascii="Garamond" w:hAnsi="Garamond"/>
          <w:sz w:val="22"/>
          <w:szCs w:val="22"/>
          <w:lang w:val="sk-SK"/>
        </w:rPr>
        <w:t>,</w:t>
      </w:r>
      <w:r>
        <w:rPr>
          <w:rFonts w:ascii="Garamond" w:hAnsi="Garamond"/>
          <w:sz w:val="22"/>
          <w:szCs w:val="22"/>
          <w:lang w:val="sk-SK"/>
        </w:rPr>
        <w:t xml:space="preserve"> ako od spoločnosti </w:t>
      </w:r>
      <w:proofErr w:type="spellStart"/>
      <w:r>
        <w:rPr>
          <w:rFonts w:ascii="Garamond" w:hAnsi="Garamond"/>
          <w:sz w:val="22"/>
          <w:szCs w:val="22"/>
          <w:lang w:val="sk-SK"/>
        </w:rPr>
        <w:t>Avigilon</w:t>
      </w:r>
      <w:proofErr w:type="spellEnd"/>
      <w:r>
        <w:rPr>
          <w:rFonts w:ascii="Garamond" w:hAnsi="Garamond"/>
          <w:sz w:val="22"/>
          <w:szCs w:val="22"/>
          <w:lang w:val="sk-SK"/>
        </w:rPr>
        <w:t>.</w:t>
      </w:r>
    </w:p>
    <w:p w14:paraId="5DF27470" w14:textId="091829AF" w:rsidR="00F91A39" w:rsidRPr="00F91A39" w:rsidRDefault="00F91A39" w:rsidP="00F91A39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Podľa § 42 </w:t>
      </w:r>
      <w:proofErr w:type="spellStart"/>
      <w:r w:rsidRPr="00A41DA7">
        <w:rPr>
          <w:rFonts w:ascii="Garamond" w:hAnsi="Garamond"/>
          <w:sz w:val="22"/>
          <w:szCs w:val="22"/>
          <w:lang w:val="sk-SK"/>
        </w:rPr>
        <w:t>ods</w:t>
      </w:r>
      <w:proofErr w:type="spellEnd"/>
      <w:r w:rsidRPr="00A41DA7">
        <w:rPr>
          <w:rFonts w:ascii="Garamond" w:hAnsi="Garamond"/>
          <w:sz w:val="22"/>
          <w:szCs w:val="22"/>
          <w:lang w:val="sk-SK"/>
        </w:rPr>
        <w:t xml:space="preserve"> 3 ZVO: „</w:t>
      </w:r>
      <w:r w:rsidRPr="00A41DA7">
        <w:rPr>
          <w:rFonts w:ascii="Garamond" w:hAnsi="Garamond"/>
          <w:i/>
          <w:sz w:val="22"/>
          <w:szCs w:val="22"/>
          <w:lang w:val="sk-SK"/>
        </w:rPr>
        <w:t xml:space="preserve">Technické požiadavky sa nesmú odvolávať na konkrétneho výrobcu, výrobný postup, obchodné označenie, patent, typ, oblasť alebo miesto pôvodu alebo výroby, ak by tým dochádzalo k znevýhodneniu alebo k vylúčeniu určitých záujemcov alebo tovarov, ak si to nevyžaduje predmet zákazky. Takýto odkaz možno použiť len vtedy, </w:t>
      </w:r>
      <w:r w:rsidRPr="00A41DA7">
        <w:rPr>
          <w:rFonts w:ascii="Garamond" w:hAnsi="Garamond"/>
          <w:b/>
          <w:i/>
          <w:sz w:val="22"/>
          <w:szCs w:val="22"/>
          <w:lang w:val="sk-SK"/>
        </w:rPr>
        <w:t>ak nemožno opísať predmet zákazky podľa odseku 2 dostatočne presne a zrozumiteľne</w:t>
      </w:r>
      <w:r w:rsidRPr="00A41DA7">
        <w:rPr>
          <w:rFonts w:ascii="Garamond" w:hAnsi="Garamond"/>
          <w:i/>
          <w:sz w:val="22"/>
          <w:szCs w:val="22"/>
          <w:lang w:val="sk-SK"/>
        </w:rPr>
        <w:t>, a</w:t>
      </w:r>
      <w:r w:rsidRPr="00A41DA7">
        <w:rPr>
          <w:rFonts w:ascii="Garamond" w:hAnsi="Garamond"/>
          <w:sz w:val="22"/>
          <w:szCs w:val="22"/>
          <w:lang w:val="sk-SK"/>
        </w:rPr>
        <w:t xml:space="preserve"> </w:t>
      </w:r>
      <w:r w:rsidRPr="00A41DA7">
        <w:rPr>
          <w:rFonts w:ascii="Garamond" w:hAnsi="Garamond"/>
          <w:i/>
          <w:sz w:val="22"/>
          <w:szCs w:val="22"/>
          <w:lang w:val="sk-SK"/>
        </w:rPr>
        <w:t>takýto odkaz musí byť doplnený slovami „alebo ekvivalentný</w:t>
      </w:r>
      <w:r w:rsidRPr="00A41DA7">
        <w:rPr>
          <w:rFonts w:ascii="Garamond" w:hAnsi="Garamond"/>
          <w:sz w:val="22"/>
          <w:szCs w:val="22"/>
          <w:lang w:val="sk-SK"/>
        </w:rPr>
        <w:t>.“</w:t>
      </w:r>
      <w:r>
        <w:rPr>
          <w:rFonts w:ascii="Garamond" w:hAnsi="Garamond"/>
          <w:sz w:val="22"/>
          <w:szCs w:val="22"/>
          <w:lang w:val="sk-SK"/>
        </w:rPr>
        <w:t xml:space="preserve"> K reštriktívnemu výkladu pri použití priamych alebo nepriamych odkazov si Navrhovateľ dovoľuje ďalej citovať z priľnavých súdnych rozhodnutí. </w:t>
      </w:r>
    </w:p>
    <w:p w14:paraId="4DF479FC" w14:textId="640F1DC7" w:rsidR="00590171" w:rsidRPr="00A41DA7" w:rsidRDefault="00905379" w:rsidP="0032447E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>„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stanovení technických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nesmí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-li to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odůvodněno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zvýhodnit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znevýhodnit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určité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dodavatele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výrobky tím, že technické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stanoví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prostřednictvím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přímého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nepřímého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odkazu na určité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dodavatele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výrobky, nebo patenty na vynálezy,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užitné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vzory,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průmyslové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vzory, ochranné známky nebo označení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původu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Obecný zákaz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užívat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odkazu pro stanovení technických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nutných pro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dostatečné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vymezení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je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prolamován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situace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stanovení technických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způsoby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uvedenými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výše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citovaném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ustanovení § 89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1 ZZVZ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nemůže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být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dostatečně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přesné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 xml:space="preserve"> nebo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srozumitelné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přičemž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 každého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takového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odkazu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uvede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možnost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nabídnout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rovnocenné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řešení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[7]. Jedná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tedy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výjimečné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b/>
          <w:i/>
          <w:sz w:val="22"/>
          <w:szCs w:val="22"/>
          <w:lang w:val="sk-SK"/>
        </w:rPr>
        <w:t>situace</w:t>
      </w:r>
      <w:proofErr w:type="spellEnd"/>
      <w:r w:rsidRPr="00A41DA7">
        <w:rPr>
          <w:rFonts w:ascii="Garamond" w:hAnsi="Garamond"/>
          <w:b/>
          <w:i/>
          <w:sz w:val="22"/>
          <w:szCs w:val="22"/>
          <w:lang w:val="sk-SK"/>
        </w:rPr>
        <w:t>,</w:t>
      </w:r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specifika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vylučují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obecný popis jeho technických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parametrů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specifikací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tedy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obecný popis použitého zboží či materiálu by pro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zajištění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řádného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nebyl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dostatečný</w:t>
      </w:r>
      <w:proofErr w:type="spellEnd"/>
      <w:r w:rsidRPr="00A41DA7">
        <w:rPr>
          <w:rFonts w:ascii="Garamond" w:hAnsi="Garamond"/>
          <w:sz w:val="22"/>
          <w:szCs w:val="22"/>
          <w:lang w:val="sk-SK"/>
        </w:rPr>
        <w:t>“</w:t>
      </w:r>
      <w:r w:rsidRPr="00A41DA7">
        <w:rPr>
          <w:rFonts w:ascii="Garamond" w:hAnsi="Garamond"/>
          <w:sz w:val="22"/>
          <w:szCs w:val="22"/>
          <w:vertAlign w:val="superscript"/>
        </w:rPr>
        <w:footnoteReference w:id="7"/>
      </w:r>
    </w:p>
    <w:p w14:paraId="01444720" w14:textId="200FEC92" w:rsidR="00905379" w:rsidRPr="00A41DA7" w:rsidRDefault="00905379" w:rsidP="00A41DA7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lastRenderedPageBreak/>
        <w:t>„....</w:t>
      </w:r>
      <w:r w:rsidRPr="00A41DA7">
        <w:rPr>
          <w:rFonts w:ascii="Garamond" w:hAnsi="Garamond"/>
          <w:i/>
          <w:sz w:val="22"/>
          <w:szCs w:val="22"/>
          <w:lang w:val="sk-SK"/>
        </w:rPr>
        <w:t xml:space="preserve">technické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specifikaci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prostřednictvím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stanovení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provázání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 určitým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výrobcem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či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výrobkem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což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je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obecně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velkým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problémem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zadávání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veřejných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lze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tedy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přistoupit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pouze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výhradně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určitých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striktně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vymezených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spočívajících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zvláštnosti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v tom, že jeho popis stanovený obecnými technickými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podmínkami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nebyl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přesný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srozumitelný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Pouze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těchto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může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 zadávací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dokumentaci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odkázat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na určitý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konkrétní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typ výrobku nebo značky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např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pro bližší určení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standardu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jakosti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či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dalších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vlastností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výrobků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>.......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používání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skrytých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nástrojů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prostředků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diskriminace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dodavatelů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Jednou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součástí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samotného účelu ZVZ je snaha 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umožnění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co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nejširší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skutečné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soutěže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 boji 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získání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což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promítá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kodifikací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zásad, jež zadávací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řízení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musí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respektovat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jež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jsou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podávány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 § 6 ZVZ.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Jakkoli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deklarovaná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formální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otevřenost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zadávacího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řízení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může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být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 tohoto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pohledu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zmařena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důsledku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dopadu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specifických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formulací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použitých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sestavování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zadávací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dokumentace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které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budou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přímo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nepřímo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zvýhodňovat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jednoho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nebo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více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dodavatelů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ostatními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a to stanovením či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doporučením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konkrétního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zboží či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konkrétních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materiálů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kterých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má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být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při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použito. …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tak,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pokud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je to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objektivně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možné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pokud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to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nezpůsobuje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nejednoznačnost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zadávacích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měl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vyvarovat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odkazů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na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konkrétní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obchodní firmy, názvy nebo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jména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příjmení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specifická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označení zboží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služeb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které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platí pro určitou osobu za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příznačné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>.</w:t>
      </w:r>
      <w:r w:rsidR="00A41DA7"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Pokud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použil odkazu na určité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dodavatele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výrobky, patenty na vynálezy,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užitné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vzory,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průmyslové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vzory, ochranné známky nebo označení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původu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bez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kumulativního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splnění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uvedených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tedy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1)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odůvodňuje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-li to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2)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zadavatel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schopen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předmět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veřejné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zakázky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specifikovat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pomocí technických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podmínek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smyslu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ustanovení § 89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1 ZZVZ tak, aby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taková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specifikace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byla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dostatečně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přesná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srozumitelná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, a 3)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výslovně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umožní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nabídnutí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rovnocenného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řešení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u každého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takového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odkazu, dopustil 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takovým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postupem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nepřípustného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omezení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konkurence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a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hospodářské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soutěže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.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Takový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postup by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tedy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byl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v rozporu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se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zásadou zákazu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diskriminace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 xml:space="preserve"> zakotvenou v ustanovení § 6 </w:t>
      </w:r>
      <w:proofErr w:type="spellStart"/>
      <w:r w:rsidRPr="00A41DA7">
        <w:rPr>
          <w:rFonts w:ascii="Garamond" w:hAnsi="Garamond"/>
          <w:i/>
          <w:sz w:val="22"/>
          <w:szCs w:val="22"/>
          <w:lang w:val="sk-SK"/>
        </w:rPr>
        <w:t>odst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>. 2 ZZVZ</w:t>
      </w:r>
      <w:r w:rsidRPr="00A41DA7">
        <w:rPr>
          <w:rFonts w:ascii="Garamond" w:hAnsi="Garamond"/>
          <w:sz w:val="22"/>
          <w:szCs w:val="22"/>
          <w:vertAlign w:val="superscript"/>
          <w:lang w:val="sk-SK"/>
        </w:rPr>
        <w:footnoteReference w:id="8"/>
      </w:r>
      <w:r w:rsidR="00A41DA7">
        <w:rPr>
          <w:rFonts w:ascii="Garamond" w:hAnsi="Garamond"/>
          <w:sz w:val="22"/>
          <w:szCs w:val="22"/>
          <w:lang w:val="sk-SK"/>
        </w:rPr>
        <w:t>.</w:t>
      </w:r>
    </w:p>
    <w:p w14:paraId="28942AF6" w14:textId="2B32B0DE" w:rsidR="006000F0" w:rsidRPr="00A41DA7" w:rsidRDefault="006000F0" w:rsidP="0032447E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Navrhovateľ je presvedčený, že </w:t>
      </w:r>
      <w:r w:rsidR="00A53185">
        <w:rPr>
          <w:rFonts w:ascii="Garamond" w:hAnsi="Garamond"/>
          <w:sz w:val="22"/>
          <w:szCs w:val="22"/>
          <w:lang w:val="sk-SK"/>
        </w:rPr>
        <w:t xml:space="preserve">požadované </w:t>
      </w:r>
      <w:r w:rsidR="00927935" w:rsidRPr="00A41DA7">
        <w:rPr>
          <w:rFonts w:ascii="Garamond" w:hAnsi="Garamond"/>
          <w:sz w:val="22"/>
          <w:szCs w:val="22"/>
          <w:lang w:val="sk-SK"/>
        </w:rPr>
        <w:t>kamery</w:t>
      </w:r>
      <w:r w:rsidR="001517AB">
        <w:rPr>
          <w:rFonts w:ascii="Garamond" w:hAnsi="Garamond"/>
          <w:sz w:val="22"/>
          <w:szCs w:val="22"/>
          <w:lang w:val="sk-SK"/>
        </w:rPr>
        <w:t xml:space="preserve">, systémy, software a ďalšie, </w:t>
      </w:r>
      <w:r w:rsidR="00A53185">
        <w:rPr>
          <w:rFonts w:ascii="Garamond" w:hAnsi="Garamond"/>
          <w:sz w:val="22"/>
          <w:szCs w:val="22"/>
          <w:lang w:val="sk-SK"/>
        </w:rPr>
        <w:t xml:space="preserve"> u ktorých boli použité odkazy na technológie a na konkrétne kamery,</w:t>
      </w:r>
      <w:r w:rsidR="00927935" w:rsidRPr="00A41DA7">
        <w:rPr>
          <w:rFonts w:ascii="Garamond" w:hAnsi="Garamond"/>
          <w:sz w:val="22"/>
          <w:szCs w:val="22"/>
          <w:lang w:val="sk-SK"/>
        </w:rPr>
        <w:t xml:space="preserve"> je možné opísať aj technologicky neutrálne. Nie je nevyhnutná potreba opísať predmet zákazky odkazom a preto použil Kontrolovaný priame a nepriame odkazy v rozpore s § </w:t>
      </w:r>
      <w:r w:rsidR="004529AF" w:rsidRPr="00A41DA7">
        <w:rPr>
          <w:rFonts w:ascii="Garamond" w:hAnsi="Garamond"/>
          <w:sz w:val="22"/>
          <w:szCs w:val="22"/>
          <w:lang w:val="sk-SK"/>
        </w:rPr>
        <w:t xml:space="preserve">42 ods. 3 ZVO. </w:t>
      </w:r>
      <w:r w:rsidR="009143FD" w:rsidRPr="00A41DA7">
        <w:rPr>
          <w:rFonts w:ascii="Garamond" w:hAnsi="Garamond"/>
          <w:sz w:val="22"/>
          <w:szCs w:val="22"/>
          <w:lang w:val="sk-SK"/>
        </w:rPr>
        <w:t xml:space="preserve">Ak si toto tvrdenie odborne neoverí ÚVO, je Navrhovateľ pripravený nechať vypracovať znalecký posudok z príslušného oboru. </w:t>
      </w:r>
    </w:p>
    <w:p w14:paraId="22E63F38" w14:textId="3A41C7A9" w:rsidR="00F83644" w:rsidRPr="00A41DA7" w:rsidRDefault="00F83644" w:rsidP="00F83644">
      <w:pPr>
        <w:pStyle w:val="Odsekzoznamu"/>
        <w:keepNext/>
        <w:keepLines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Garamond" w:hAnsi="Garamond"/>
          <w:i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t xml:space="preserve">Na konci opisu predmetu zákazy je uvedená poznámka: </w:t>
      </w:r>
      <w:r w:rsidRPr="00A41DA7">
        <w:rPr>
          <w:rFonts w:ascii="Garamond" w:hAnsi="Garamond"/>
          <w:i/>
          <w:sz w:val="22"/>
          <w:szCs w:val="22"/>
          <w:lang w:val="sk-SK"/>
        </w:rPr>
        <w:t>„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Ak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v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súťažných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podkladoch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a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ostatnej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dokumentácii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bude identifikovaný konkrétny typ výrobku/softwaru,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alebo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výrobok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/software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konkrétneho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výrobcu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obstarávateľ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umožní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nahradiť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takýto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výrobok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/software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ekvivalentným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výrobkom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alebo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ekvivalentom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technického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riešenia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pod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podmienkou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, že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ekvivalentný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výrobok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/software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alebo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ekvivalentné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technické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riešenie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bude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spĺňať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úžitkové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prevádzkové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a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funkčné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charakteristiky,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ktoré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sú nevyhnutné na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zabezpečenie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účelu, na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ktoré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sú výrobky/software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alebo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technické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riešenia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určené.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Pri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výrobkoch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/software,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príslušenstvách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konkrétnej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značky,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uchádzač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môže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predložiť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aj ekvivalenty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inej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značky v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rovnakej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alebo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vyššej</w:t>
      </w:r>
      <w:proofErr w:type="spellEnd"/>
      <w:r w:rsidR="00A05A78" w:rsidRPr="00A05A7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A05A78" w:rsidRPr="00A05A78">
        <w:rPr>
          <w:rFonts w:ascii="Garamond" w:hAnsi="Garamond"/>
          <w:i/>
          <w:sz w:val="22"/>
          <w:szCs w:val="22"/>
        </w:rPr>
        <w:t>kvalit</w:t>
      </w:r>
      <w:r w:rsidR="00A05A78">
        <w:rPr>
          <w:rFonts w:ascii="Garamond" w:hAnsi="Garamond"/>
          <w:i/>
          <w:sz w:val="22"/>
          <w:szCs w:val="22"/>
        </w:rPr>
        <w:t>e</w:t>
      </w:r>
      <w:proofErr w:type="spellEnd"/>
      <w:r w:rsidRPr="00A41DA7">
        <w:rPr>
          <w:rFonts w:ascii="Garamond" w:hAnsi="Garamond"/>
          <w:i/>
          <w:sz w:val="22"/>
          <w:szCs w:val="22"/>
          <w:lang w:val="sk-SK"/>
        </w:rPr>
        <w:t>.“</w:t>
      </w:r>
      <w:r w:rsidRPr="00A41DA7">
        <w:rPr>
          <w:rFonts w:ascii="Garamond" w:hAnsi="Garamond"/>
          <w:sz w:val="22"/>
          <w:szCs w:val="22"/>
          <w:lang w:val="sk-SK"/>
        </w:rPr>
        <w:t xml:space="preserve"> T</w:t>
      </w:r>
      <w:r w:rsidR="00BF6987" w:rsidRPr="00A41DA7">
        <w:rPr>
          <w:rFonts w:ascii="Garamond" w:hAnsi="Garamond"/>
          <w:sz w:val="22"/>
          <w:szCs w:val="22"/>
          <w:lang w:val="sk-SK"/>
        </w:rPr>
        <w:t xml:space="preserve">oto je legitímne ustanovenie, avšak len za predpokladu, že súťažné podklady upravujú, čo je považované za ekvivalentné a akým spôsobom bude ekvivalentnosť posudzovaná a akým dôkazom má byť zo strany uchádzača preukázaná. </w:t>
      </w:r>
      <w:r w:rsidR="006000F0" w:rsidRPr="00A41DA7">
        <w:rPr>
          <w:rFonts w:ascii="Garamond" w:hAnsi="Garamond"/>
          <w:b/>
          <w:sz w:val="22"/>
          <w:szCs w:val="22"/>
          <w:lang w:val="sk-SK"/>
        </w:rPr>
        <w:t xml:space="preserve">Nie je možné podľa svojej ľubovôle v súťažných podkladoch použiť priame alebo nepriame odkazy,  keď je predmet zákazky definovateľný technologicky neutrálne, a bremeno </w:t>
      </w:r>
      <w:r w:rsidR="00590171" w:rsidRPr="00A41DA7">
        <w:rPr>
          <w:rFonts w:ascii="Garamond" w:hAnsi="Garamond"/>
          <w:b/>
          <w:sz w:val="22"/>
          <w:szCs w:val="22"/>
          <w:lang w:val="sk-SK"/>
        </w:rPr>
        <w:t xml:space="preserve">dôkazu ekvivalentnosti, bez ďalšieho upresnenia, preniesť na uchádzača. </w:t>
      </w:r>
      <w:r w:rsidR="00590171" w:rsidRPr="00A41DA7">
        <w:rPr>
          <w:rFonts w:ascii="Garamond" w:hAnsi="Garamond"/>
          <w:sz w:val="22"/>
          <w:szCs w:val="22"/>
          <w:lang w:val="sk-SK"/>
        </w:rPr>
        <w:t xml:space="preserve">Kontrolovaný si týmto postupom na jednej strane uľahčil prácu, ale na druhú stranu sťažil pozíciu uchádzačom, ktorý ponúkajú iné výrobky, keďže musia neurčeným spôsobom </w:t>
      </w:r>
      <w:r w:rsidR="007656CA">
        <w:rPr>
          <w:rFonts w:ascii="Garamond" w:hAnsi="Garamond"/>
          <w:sz w:val="22"/>
          <w:szCs w:val="22"/>
          <w:lang w:val="sk-SK"/>
        </w:rPr>
        <w:t xml:space="preserve">bez jasných pravidiel </w:t>
      </w:r>
      <w:r w:rsidR="00590171" w:rsidRPr="00A41DA7">
        <w:rPr>
          <w:rFonts w:ascii="Garamond" w:hAnsi="Garamond"/>
          <w:sz w:val="22"/>
          <w:szCs w:val="22"/>
          <w:lang w:val="sk-SK"/>
        </w:rPr>
        <w:t xml:space="preserve">preukazovať ekvivalentnosť </w:t>
      </w:r>
      <w:r w:rsidR="00A03E95">
        <w:rPr>
          <w:rFonts w:ascii="Garamond" w:hAnsi="Garamond"/>
          <w:sz w:val="22"/>
          <w:szCs w:val="22"/>
          <w:lang w:val="sk-SK"/>
        </w:rPr>
        <w:t>u desiatok</w:t>
      </w:r>
      <w:r w:rsidR="00590171" w:rsidRPr="00A41DA7">
        <w:rPr>
          <w:rFonts w:ascii="Garamond" w:hAnsi="Garamond"/>
          <w:sz w:val="22"/>
          <w:szCs w:val="22"/>
          <w:lang w:val="sk-SK"/>
        </w:rPr>
        <w:t xml:space="preserve"> položiek rozpočtu. </w:t>
      </w:r>
      <w:r w:rsidR="00BD7B5A">
        <w:rPr>
          <w:rFonts w:ascii="Garamond" w:hAnsi="Garamond"/>
          <w:sz w:val="22"/>
          <w:szCs w:val="22"/>
          <w:lang w:val="sk-SK"/>
        </w:rPr>
        <w:t xml:space="preserve">Kontrolovaný si svoju zodpovednosť za kompletnosť, určitosť a jednoznačnosť súťažných podkladov uľahčil natoľko, že ani neuviedol, u ktorých položiek rozpočtu je ekvivalentnosť umožnená, ale urobil len plošné prehlásenie. </w:t>
      </w:r>
      <w:r w:rsidR="00BF6987" w:rsidRPr="00A41DA7">
        <w:rPr>
          <w:rFonts w:ascii="Garamond" w:hAnsi="Garamond"/>
          <w:sz w:val="22"/>
          <w:szCs w:val="22"/>
          <w:lang w:val="sk-SK"/>
        </w:rPr>
        <w:t xml:space="preserve"> </w:t>
      </w:r>
    </w:p>
    <w:p w14:paraId="2A067C7F" w14:textId="77777777" w:rsidR="007B1B26" w:rsidRDefault="007B1B26" w:rsidP="000637AF">
      <w:pPr>
        <w:rPr>
          <w:rFonts w:ascii="Garamond" w:hAnsi="Garamond"/>
          <w:sz w:val="22"/>
          <w:szCs w:val="22"/>
          <w:lang w:val="sk-SK"/>
        </w:rPr>
      </w:pPr>
    </w:p>
    <w:p w14:paraId="7EAD5EF5" w14:textId="77777777" w:rsidR="005646A2" w:rsidRDefault="005646A2" w:rsidP="000637AF">
      <w:pPr>
        <w:rPr>
          <w:rFonts w:ascii="Garamond" w:hAnsi="Garamond"/>
          <w:sz w:val="22"/>
          <w:szCs w:val="22"/>
          <w:lang w:val="sk-SK"/>
        </w:rPr>
      </w:pPr>
    </w:p>
    <w:p w14:paraId="5C20D21E" w14:textId="77777777" w:rsidR="005646A2" w:rsidRDefault="005646A2" w:rsidP="000637AF">
      <w:pPr>
        <w:rPr>
          <w:rFonts w:ascii="Garamond" w:hAnsi="Garamond"/>
          <w:sz w:val="22"/>
          <w:szCs w:val="22"/>
          <w:lang w:val="sk-SK"/>
        </w:rPr>
      </w:pPr>
    </w:p>
    <w:p w14:paraId="72299F23" w14:textId="77777777" w:rsidR="005646A2" w:rsidRPr="00A41DA7" w:rsidRDefault="005646A2" w:rsidP="000637AF">
      <w:pPr>
        <w:rPr>
          <w:rFonts w:ascii="Garamond" w:hAnsi="Garamond"/>
          <w:sz w:val="22"/>
          <w:szCs w:val="22"/>
          <w:lang w:val="sk-SK"/>
        </w:rPr>
      </w:pPr>
    </w:p>
    <w:p w14:paraId="55E2E1FC" w14:textId="77777777" w:rsidR="005237D5" w:rsidRPr="00A41DA7" w:rsidRDefault="005237D5" w:rsidP="000637AF">
      <w:pPr>
        <w:rPr>
          <w:rFonts w:ascii="Garamond" w:hAnsi="Garamond"/>
          <w:sz w:val="22"/>
          <w:szCs w:val="22"/>
          <w:lang w:val="sk-SK"/>
        </w:rPr>
      </w:pPr>
    </w:p>
    <w:p w14:paraId="7C04762E" w14:textId="374B0597" w:rsidR="005237D5" w:rsidRPr="00A41DA7" w:rsidRDefault="005237D5" w:rsidP="000637AF">
      <w:pPr>
        <w:rPr>
          <w:rFonts w:ascii="Garamond" w:hAnsi="Garamond"/>
          <w:sz w:val="22"/>
          <w:szCs w:val="22"/>
          <w:lang w:val="sk-SK"/>
        </w:rPr>
      </w:pPr>
      <w:r w:rsidRPr="00A41DA7">
        <w:rPr>
          <w:rFonts w:ascii="Garamond" w:hAnsi="Garamond"/>
          <w:sz w:val="22"/>
          <w:szCs w:val="22"/>
          <w:lang w:val="sk-SK"/>
        </w:rPr>
        <w:lastRenderedPageBreak/>
        <w:t>S pozdravom</w:t>
      </w:r>
    </w:p>
    <w:tbl>
      <w:tblPr>
        <w:tblStyle w:val="Mriekatabuky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</w:tblGrid>
      <w:tr w:rsidR="00F01E69" w:rsidRPr="00A41DA7" w14:paraId="6F7E764F" w14:textId="77777777" w:rsidTr="007F31D4">
        <w:tc>
          <w:tcPr>
            <w:tcW w:w="4384" w:type="dxa"/>
          </w:tcPr>
          <w:p w14:paraId="141472A2" w14:textId="77777777" w:rsidR="007F31D4" w:rsidRPr="00A41DA7" w:rsidRDefault="007F31D4" w:rsidP="005237D5">
            <w:pPr>
              <w:jc w:val="center"/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0EEFFD3F" wp14:editId="27D31528">
                  <wp:extent cx="1362075" cy="1743075"/>
                  <wp:effectExtent l="1905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566" cy="174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E69" w:rsidRPr="00A41DA7" w14:paraId="10D29CBD" w14:textId="77777777" w:rsidTr="007F31D4">
        <w:tc>
          <w:tcPr>
            <w:tcW w:w="4384" w:type="dxa"/>
          </w:tcPr>
          <w:p w14:paraId="618D9D26" w14:textId="77777777" w:rsidR="005237D5" w:rsidRPr="00A41DA7" w:rsidRDefault="005237D5" w:rsidP="005237D5">
            <w:pPr>
              <w:jc w:val="center"/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>................................................</w:t>
            </w:r>
          </w:p>
        </w:tc>
      </w:tr>
      <w:tr w:rsidR="00F01E69" w:rsidRPr="00A41DA7" w14:paraId="28B8BF9E" w14:textId="77777777" w:rsidTr="007F31D4">
        <w:tc>
          <w:tcPr>
            <w:tcW w:w="4384" w:type="dxa"/>
          </w:tcPr>
          <w:p w14:paraId="7AD3C1A5" w14:textId="77777777" w:rsidR="005237D5" w:rsidRPr="00A41DA7" w:rsidRDefault="007F31D4" w:rsidP="007F31D4">
            <w:pPr>
              <w:jc w:val="center"/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 xml:space="preserve">JUDr. Miroslav </w:t>
            </w:r>
            <w:proofErr w:type="spellStart"/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>Cák</w:t>
            </w:r>
            <w:proofErr w:type="spellEnd"/>
          </w:p>
        </w:tc>
      </w:tr>
      <w:tr w:rsidR="00A41DA7" w:rsidRPr="00A41DA7" w14:paraId="410BC821" w14:textId="77777777" w:rsidTr="007F31D4">
        <w:tc>
          <w:tcPr>
            <w:tcW w:w="4384" w:type="dxa"/>
          </w:tcPr>
          <w:p w14:paraId="529BE0CC" w14:textId="77777777" w:rsidR="005237D5" w:rsidRPr="00A41DA7" w:rsidRDefault="007F31D4" w:rsidP="007F31D4">
            <w:pPr>
              <w:jc w:val="center"/>
              <w:rPr>
                <w:rFonts w:ascii="Garamond" w:hAnsi="Garamond"/>
                <w:sz w:val="22"/>
                <w:szCs w:val="22"/>
                <w:lang w:val="sk-SK"/>
              </w:rPr>
            </w:pPr>
            <w:r w:rsidRPr="00A41DA7">
              <w:rPr>
                <w:rFonts w:ascii="Garamond" w:hAnsi="Garamond"/>
                <w:sz w:val="22"/>
                <w:szCs w:val="22"/>
                <w:lang w:val="sk-SK"/>
              </w:rPr>
              <w:t>Spolupracovník Nadácie Zastavme korupciu</w:t>
            </w:r>
          </w:p>
        </w:tc>
      </w:tr>
    </w:tbl>
    <w:p w14:paraId="7C09618B" w14:textId="77777777" w:rsidR="005237D5" w:rsidRPr="00A41DA7" w:rsidRDefault="005237D5" w:rsidP="000637AF">
      <w:pPr>
        <w:rPr>
          <w:rFonts w:ascii="Garamond" w:hAnsi="Garamond"/>
          <w:sz w:val="22"/>
          <w:szCs w:val="22"/>
          <w:lang w:val="sk-SK"/>
        </w:rPr>
      </w:pPr>
    </w:p>
    <w:sectPr w:rsidR="005237D5" w:rsidRPr="00A41DA7" w:rsidSect="00C12AA2">
      <w:footerReference w:type="default" r:id="rId9"/>
      <w:headerReference w:type="first" r:id="rId10"/>
      <w:footerReference w:type="first" r:id="rId11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17AE9" w16cex:dateUtc="2021-01-19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40F92F" w16cid:durableId="23B17A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79EE" w14:textId="77777777" w:rsidR="00334300" w:rsidRDefault="00334300" w:rsidP="00582461">
      <w:r>
        <w:separator/>
      </w:r>
    </w:p>
  </w:endnote>
  <w:endnote w:type="continuationSeparator" w:id="0">
    <w:p w14:paraId="7A654A52" w14:textId="77777777" w:rsidR="00334300" w:rsidRDefault="00334300" w:rsidP="0058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0"/>
        <w:szCs w:val="20"/>
      </w:rPr>
      <w:id w:val="-599180458"/>
      <w:docPartObj>
        <w:docPartGallery w:val="Page Numbers (Bottom of Page)"/>
        <w:docPartUnique/>
      </w:docPartObj>
    </w:sdtPr>
    <w:sdtEndPr/>
    <w:sdtContent>
      <w:p w14:paraId="60D12AF7" w14:textId="77777777" w:rsidR="00F318AB" w:rsidRPr="00F318AB" w:rsidRDefault="00F318AB">
        <w:pPr>
          <w:pStyle w:val="Pta"/>
          <w:jc w:val="center"/>
          <w:rPr>
            <w:rFonts w:ascii="Garamond" w:hAnsi="Garamond"/>
            <w:sz w:val="20"/>
            <w:szCs w:val="20"/>
          </w:rPr>
        </w:pPr>
        <w:r w:rsidRPr="00F318AB">
          <w:rPr>
            <w:rFonts w:ascii="Garamond" w:hAnsi="Garamond"/>
            <w:sz w:val="20"/>
            <w:szCs w:val="20"/>
          </w:rPr>
          <w:fldChar w:fldCharType="begin"/>
        </w:r>
        <w:r w:rsidRPr="00F318AB">
          <w:rPr>
            <w:rFonts w:ascii="Garamond" w:hAnsi="Garamond"/>
            <w:sz w:val="20"/>
            <w:szCs w:val="20"/>
          </w:rPr>
          <w:instrText>PAGE   \* MERGEFORMAT</w:instrText>
        </w:r>
        <w:r w:rsidRPr="00F318AB">
          <w:rPr>
            <w:rFonts w:ascii="Garamond" w:hAnsi="Garamond"/>
            <w:sz w:val="20"/>
            <w:szCs w:val="20"/>
          </w:rPr>
          <w:fldChar w:fldCharType="separate"/>
        </w:r>
        <w:r w:rsidR="00BC1BEE" w:rsidRPr="00BC1BEE">
          <w:rPr>
            <w:rFonts w:ascii="Garamond" w:hAnsi="Garamond"/>
            <w:noProof/>
            <w:sz w:val="20"/>
            <w:szCs w:val="20"/>
            <w:lang w:val="sk-SK"/>
          </w:rPr>
          <w:t>4</w:t>
        </w:r>
        <w:r w:rsidRPr="00F318AB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536A318D" w14:textId="77777777" w:rsidR="00F318AB" w:rsidRPr="00F318AB" w:rsidRDefault="00F318AB">
    <w:pPr>
      <w:pStyle w:val="Pta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6255" w14:textId="77777777" w:rsidR="00CD5C52" w:rsidRDefault="00CD5C52">
    <w:pPr>
      <w:pStyle w:val="Pta"/>
    </w:pPr>
    <w:r>
      <w:rPr>
        <w:noProof/>
        <w:lang w:val="sk-SK" w:eastAsia="sk-SK"/>
      </w:rPr>
      <w:drawing>
        <wp:inline distT="0" distB="0" distL="0" distR="0" wp14:anchorId="5BAA21CB" wp14:editId="28DF535F">
          <wp:extent cx="5760000" cy="313069"/>
          <wp:effectExtent l="19050" t="0" r="0" b="0"/>
          <wp:docPr id="24" name="Obrázok 2" descr="pasted-image-small-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ed-image-small-2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313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9C068" w14:textId="77777777" w:rsidR="00334300" w:rsidRDefault="00334300" w:rsidP="00582461">
      <w:r>
        <w:separator/>
      </w:r>
    </w:p>
  </w:footnote>
  <w:footnote w:type="continuationSeparator" w:id="0">
    <w:p w14:paraId="0E812638" w14:textId="77777777" w:rsidR="00334300" w:rsidRDefault="00334300" w:rsidP="00582461">
      <w:r>
        <w:continuationSeparator/>
      </w:r>
    </w:p>
  </w:footnote>
  <w:footnote w:id="1">
    <w:p w14:paraId="6BDA532C" w14:textId="45DC0BA3" w:rsidR="00665518" w:rsidRPr="00665518" w:rsidRDefault="00665518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646A2">
        <w:rPr>
          <w:rFonts w:ascii="Garamond" w:hAnsi="Garamond"/>
          <w:lang w:val="sk-SK"/>
        </w:rPr>
        <w:t>Rozhodnutie Úradu pre verejné obstarávanie číslo: 12139-6000/2020-OD</w:t>
      </w:r>
    </w:p>
  </w:footnote>
  <w:footnote w:id="2">
    <w:p w14:paraId="1768A297" w14:textId="6E171F5F" w:rsidR="005646A2" w:rsidRPr="005646A2" w:rsidRDefault="009864CD">
      <w:pPr>
        <w:pStyle w:val="Textpoznmkypodiarou"/>
        <w:rPr>
          <w:rFonts w:ascii="Garamond" w:hAnsi="Garamond"/>
          <w:sz w:val="22"/>
          <w:szCs w:val="22"/>
        </w:rPr>
      </w:pPr>
      <w:r>
        <w:rPr>
          <w:rStyle w:val="Odkaznapoznmkupodiarou"/>
        </w:rPr>
        <w:footnoteRef/>
      </w:r>
      <w:r>
        <w:t xml:space="preserve"> </w:t>
      </w:r>
      <w:r w:rsidRPr="005646A2">
        <w:rPr>
          <w:rFonts w:ascii="Garamond" w:hAnsi="Garamond"/>
          <w:sz w:val="22"/>
          <w:szCs w:val="22"/>
        </w:rPr>
        <w:t>https://www.tssgroup.sk/avigilon-2-0c-h4sl-d1-2-mpx-dome-ip-kamera-lightcatcher</w:t>
      </w:r>
    </w:p>
  </w:footnote>
  <w:footnote w:id="3">
    <w:p w14:paraId="613D326C" w14:textId="78C936AD" w:rsidR="009864CD" w:rsidRPr="005646A2" w:rsidRDefault="009864CD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 w:rsidRPr="005646A2">
        <w:rPr>
          <w:rFonts w:ascii="Garamond" w:hAnsi="Garamond"/>
        </w:rPr>
        <w:t>https://www.tssgroup.sk/buxus/docs/marketingove_materialy/Avigilon%20sortiment%20TSS%20sk%20letak.pdf</w:t>
      </w:r>
    </w:p>
  </w:footnote>
  <w:footnote w:id="4">
    <w:p w14:paraId="3573F3CF" w14:textId="0DA8D089" w:rsidR="009864CD" w:rsidRPr="005646A2" w:rsidRDefault="009864CD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="005646A2">
        <w:rPr>
          <w:rFonts w:ascii="Garamond" w:hAnsi="Garamond"/>
        </w:rPr>
        <w:t>t</w:t>
      </w:r>
      <w:r w:rsidR="005646A2" w:rsidRPr="00917298">
        <w:rPr>
          <w:rFonts w:ascii="Garamond" w:hAnsi="Garamond"/>
        </w:rPr>
        <w:t>tps://www.tssgroup.sk/buxus/docs/marketingove_materialy/Avigilon%20sortiment%20TSS%20sk%20letak.pdf</w:t>
      </w:r>
    </w:p>
  </w:footnote>
  <w:footnote w:id="5">
    <w:p w14:paraId="01DF07F0" w14:textId="08527E8C" w:rsidR="00E079E0" w:rsidRPr="005646A2" w:rsidRDefault="00E079E0">
      <w:pPr>
        <w:pStyle w:val="Textpoznmkypodiarou"/>
        <w:rPr>
          <w:rFonts w:ascii="Garamond" w:hAnsi="Garamond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646A2">
        <w:rPr>
          <w:rFonts w:ascii="Garamond" w:hAnsi="Garamond"/>
        </w:rPr>
        <w:t>https://www.avigilon.com/products/ai-video-analytics/focus-of-attention</w:t>
      </w:r>
    </w:p>
  </w:footnote>
  <w:footnote w:id="6">
    <w:p w14:paraId="1548FC3F" w14:textId="451E9D8C" w:rsidR="005646A2" w:rsidRPr="005646A2" w:rsidRDefault="005646A2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5646A2">
        <w:rPr>
          <w:rFonts w:ascii="Garamond" w:hAnsi="Garamond"/>
        </w:rPr>
        <w:t>https://www.tssgroup.sk/aktuality/novinky/koniec-acc6</w:t>
      </w:r>
    </w:p>
  </w:footnote>
  <w:footnote w:id="7">
    <w:p w14:paraId="17BFED43" w14:textId="1A632466" w:rsidR="00905379" w:rsidRPr="00A41DA7" w:rsidRDefault="00905379">
      <w:pPr>
        <w:pStyle w:val="Textpoznmkypodiarou"/>
        <w:rPr>
          <w:rFonts w:ascii="Garamond" w:hAnsi="Garamond"/>
        </w:rPr>
      </w:pPr>
      <w:r w:rsidRPr="00A41DA7">
        <w:rPr>
          <w:rStyle w:val="Odkaznapoznmkupodiarou"/>
          <w:rFonts w:ascii="Garamond" w:hAnsi="Garamond"/>
        </w:rPr>
        <w:footnoteRef/>
      </w:r>
      <w:r w:rsidRPr="00A41DA7">
        <w:rPr>
          <w:rFonts w:ascii="Garamond" w:hAnsi="Garamond"/>
        </w:rPr>
        <w:t xml:space="preserve"> </w:t>
      </w:r>
      <w:proofErr w:type="spellStart"/>
      <w:r w:rsidR="00A41DA7">
        <w:rPr>
          <w:rFonts w:ascii="Garamond" w:hAnsi="Garamond"/>
        </w:rPr>
        <w:t>Rozsudok</w:t>
      </w:r>
      <w:proofErr w:type="spellEnd"/>
      <w:r w:rsidR="00A41DA7">
        <w:rPr>
          <w:rFonts w:ascii="Garamond" w:hAnsi="Garamond"/>
        </w:rPr>
        <w:t xml:space="preserve"> </w:t>
      </w:r>
      <w:r w:rsidRPr="00A41DA7">
        <w:rPr>
          <w:rFonts w:ascii="Garamond" w:hAnsi="Garamond" w:cs="Tahoma"/>
          <w:lang w:val="sk-SK" w:eastAsia="sk-SK"/>
        </w:rPr>
        <w:t xml:space="preserve">Krajského </w:t>
      </w:r>
      <w:proofErr w:type="spellStart"/>
      <w:r w:rsidRPr="00A41DA7">
        <w:rPr>
          <w:rFonts w:ascii="Garamond" w:hAnsi="Garamond" w:cs="Tahoma"/>
          <w:lang w:val="sk-SK" w:eastAsia="sk-SK"/>
        </w:rPr>
        <w:t>soudu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v </w:t>
      </w:r>
      <w:proofErr w:type="spellStart"/>
      <w:r w:rsidRPr="00A41DA7">
        <w:rPr>
          <w:rFonts w:ascii="Garamond" w:hAnsi="Garamond" w:cs="Tahoma"/>
          <w:lang w:val="sk-SK" w:eastAsia="sk-SK"/>
        </w:rPr>
        <w:t>Brně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</w:t>
      </w:r>
      <w:proofErr w:type="spellStart"/>
      <w:r w:rsidRPr="00A41DA7">
        <w:rPr>
          <w:rFonts w:ascii="Garamond" w:hAnsi="Garamond" w:cs="Tahoma"/>
          <w:lang w:val="sk-SK" w:eastAsia="sk-SK"/>
        </w:rPr>
        <w:t>ze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dne 4.8.2011, </w:t>
      </w:r>
      <w:proofErr w:type="spellStart"/>
      <w:proofErr w:type="gramStart"/>
      <w:r w:rsidRPr="00A41DA7">
        <w:rPr>
          <w:rFonts w:ascii="Garamond" w:hAnsi="Garamond" w:cs="Tahoma"/>
          <w:lang w:val="sk-SK" w:eastAsia="sk-SK"/>
        </w:rPr>
        <w:t>č.j</w:t>
      </w:r>
      <w:proofErr w:type="spellEnd"/>
      <w:r w:rsidRPr="00A41DA7">
        <w:rPr>
          <w:rFonts w:ascii="Garamond" w:hAnsi="Garamond" w:cs="Tahoma"/>
          <w:lang w:val="sk-SK" w:eastAsia="sk-SK"/>
        </w:rPr>
        <w:t>.</w:t>
      </w:r>
      <w:proofErr w:type="gramEnd"/>
      <w:r w:rsidRPr="00A41DA7">
        <w:rPr>
          <w:rFonts w:ascii="Garamond" w:hAnsi="Garamond" w:cs="Tahoma"/>
          <w:lang w:val="sk-SK" w:eastAsia="sk-SK"/>
        </w:rPr>
        <w:t xml:space="preserve"> 62 </w:t>
      </w:r>
      <w:proofErr w:type="spellStart"/>
      <w:r w:rsidRPr="00A41DA7">
        <w:rPr>
          <w:rFonts w:ascii="Garamond" w:hAnsi="Garamond" w:cs="Tahoma"/>
          <w:lang w:val="sk-SK" w:eastAsia="sk-SK"/>
        </w:rPr>
        <w:t>Af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30/2010-53 </w:t>
      </w:r>
    </w:p>
  </w:footnote>
  <w:footnote w:id="8">
    <w:p w14:paraId="3B012F04" w14:textId="633884A0" w:rsidR="00905379" w:rsidRPr="00A41DA7" w:rsidRDefault="00905379" w:rsidP="00A41DA7">
      <w:pPr>
        <w:pStyle w:val="Textpoznmkypodiarou"/>
        <w:jc w:val="both"/>
        <w:rPr>
          <w:rFonts w:ascii="Garamond" w:hAnsi="Garamond"/>
        </w:rPr>
      </w:pPr>
      <w:r w:rsidRPr="00A41DA7">
        <w:rPr>
          <w:rStyle w:val="Odkaznapoznmkupodiarou"/>
          <w:rFonts w:ascii="Garamond" w:hAnsi="Garamond"/>
        </w:rPr>
        <w:footnoteRef/>
      </w:r>
      <w:r w:rsidRPr="00A41DA7">
        <w:rPr>
          <w:rFonts w:ascii="Garamond" w:hAnsi="Garamond"/>
        </w:rPr>
        <w:t xml:space="preserve"> </w:t>
      </w:r>
      <w:proofErr w:type="spellStart"/>
      <w:r w:rsidR="00A41DA7" w:rsidRPr="00A41DA7">
        <w:rPr>
          <w:rFonts w:ascii="Garamond" w:hAnsi="Garamond"/>
        </w:rPr>
        <w:t>Rozsudok</w:t>
      </w:r>
      <w:proofErr w:type="spellEnd"/>
      <w:r w:rsidR="00A41DA7" w:rsidRPr="00A41DA7">
        <w:rPr>
          <w:rFonts w:ascii="Garamond" w:hAnsi="Garamond"/>
        </w:rPr>
        <w:t xml:space="preserve"> </w:t>
      </w:r>
      <w:proofErr w:type="spellStart"/>
      <w:r w:rsidRPr="00A41DA7">
        <w:rPr>
          <w:rFonts w:ascii="Garamond" w:hAnsi="Garamond" w:cs="Tahoma"/>
          <w:lang w:val="sk-SK" w:eastAsia="sk-SK"/>
        </w:rPr>
        <w:t>Nejvyššího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</w:t>
      </w:r>
      <w:proofErr w:type="spellStart"/>
      <w:r w:rsidRPr="00A41DA7">
        <w:rPr>
          <w:rFonts w:ascii="Garamond" w:hAnsi="Garamond" w:cs="Tahoma"/>
          <w:lang w:val="sk-SK" w:eastAsia="sk-SK"/>
        </w:rPr>
        <w:t>správního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</w:t>
      </w:r>
      <w:proofErr w:type="spellStart"/>
      <w:r w:rsidRPr="00A41DA7">
        <w:rPr>
          <w:rFonts w:ascii="Garamond" w:hAnsi="Garamond" w:cs="Tahoma"/>
          <w:lang w:val="sk-SK" w:eastAsia="sk-SK"/>
        </w:rPr>
        <w:t>soudu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</w:t>
      </w:r>
      <w:proofErr w:type="spellStart"/>
      <w:r w:rsidRPr="00A41DA7">
        <w:rPr>
          <w:rFonts w:ascii="Garamond" w:hAnsi="Garamond" w:cs="Tahoma"/>
          <w:lang w:val="sk-SK" w:eastAsia="sk-SK"/>
        </w:rPr>
        <w:t>ze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dne 5.6.2008, </w:t>
      </w:r>
      <w:proofErr w:type="spellStart"/>
      <w:proofErr w:type="gramStart"/>
      <w:r w:rsidRPr="00A41DA7">
        <w:rPr>
          <w:rFonts w:ascii="Garamond" w:hAnsi="Garamond" w:cs="Tahoma"/>
          <w:lang w:val="sk-SK" w:eastAsia="sk-SK"/>
        </w:rPr>
        <w:t>č.j</w:t>
      </w:r>
      <w:proofErr w:type="spellEnd"/>
      <w:r w:rsidRPr="00A41DA7">
        <w:rPr>
          <w:rFonts w:ascii="Garamond" w:hAnsi="Garamond" w:cs="Tahoma"/>
          <w:lang w:val="sk-SK" w:eastAsia="sk-SK"/>
        </w:rPr>
        <w:t>.</w:t>
      </w:r>
      <w:proofErr w:type="gramEnd"/>
      <w:r w:rsidRPr="00A41DA7">
        <w:rPr>
          <w:rFonts w:ascii="Garamond" w:hAnsi="Garamond" w:cs="Tahoma"/>
          <w:lang w:val="sk-SK" w:eastAsia="sk-SK"/>
        </w:rPr>
        <w:t xml:space="preserve"> 1 </w:t>
      </w:r>
      <w:proofErr w:type="spellStart"/>
      <w:r w:rsidRPr="00A41DA7">
        <w:rPr>
          <w:rFonts w:ascii="Garamond" w:hAnsi="Garamond" w:cs="Tahoma"/>
          <w:lang w:val="sk-SK" w:eastAsia="sk-SK"/>
        </w:rPr>
        <w:t>Afs</w:t>
      </w:r>
      <w:proofErr w:type="spellEnd"/>
      <w:r w:rsidRPr="00A41DA7">
        <w:rPr>
          <w:rFonts w:ascii="Garamond" w:hAnsi="Garamond" w:cs="Tahoma"/>
          <w:lang w:val="sk-SK" w:eastAsia="sk-SK"/>
        </w:rPr>
        <w:t xml:space="preserve"> 20/2008-152</w:t>
      </w:r>
      <w:r w:rsidR="00A41DA7">
        <w:rPr>
          <w:rFonts w:ascii="Garamond" w:hAnsi="Garamond" w:cs="Tahoma"/>
          <w:lang w:val="sk-SK" w:eastAsia="sk-SK"/>
        </w:rPr>
        <w:t xml:space="preserve">. Je možné odkázať aj na odborný článok </w:t>
      </w:r>
      <w:r w:rsidR="00A41DA7" w:rsidRPr="00A41DA7">
        <w:rPr>
          <w:rFonts w:ascii="Garamond" w:hAnsi="Garamond" w:cs="Tahoma"/>
          <w:lang w:val="sk-SK" w:eastAsia="sk-SK"/>
        </w:rPr>
        <w:t>https://www.epravo.cz/top/clanky/stanoveni-predmetu-verejne-zakazky-odkazem-na-dodavatele-nebo-vyrobek-107119.html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2979"/>
      <w:gridCol w:w="3033"/>
    </w:tblGrid>
    <w:tr w:rsidR="005D727B" w:rsidRPr="005D727B" w14:paraId="02CA8AF5" w14:textId="77777777" w:rsidTr="00884075">
      <w:tc>
        <w:tcPr>
          <w:tcW w:w="3070" w:type="dxa"/>
        </w:tcPr>
        <w:p w14:paraId="77676643" w14:textId="77777777" w:rsidR="005D727B" w:rsidRPr="005D727B" w:rsidRDefault="005D727B" w:rsidP="00884075">
          <w:pPr>
            <w:pStyle w:val="Hlavika"/>
            <w:rPr>
              <w:rFonts w:asciiTheme="minorHAnsi" w:hAnsiTheme="minorHAnsi"/>
              <w:sz w:val="18"/>
              <w:szCs w:val="18"/>
            </w:rPr>
          </w:pPr>
          <w:r w:rsidRPr="005D727B">
            <w:rPr>
              <w:rFonts w:asciiTheme="minorHAnsi" w:hAnsiTheme="minorHAnsi"/>
              <w:noProof/>
              <w:sz w:val="18"/>
              <w:szCs w:val="18"/>
              <w:lang w:val="sk-SK" w:eastAsia="sk-SK"/>
            </w:rPr>
            <w:drawing>
              <wp:inline distT="0" distB="0" distL="0" distR="0" wp14:anchorId="5EB55A31" wp14:editId="6E520581">
                <wp:extent cx="1631315" cy="570865"/>
                <wp:effectExtent l="19050" t="0" r="6985" b="0"/>
                <wp:docPr id="23" name="Obrázok 23" descr="C:\Users\cami\AppData\Local\Microsoft\Windows\Temporary Internet Files\Content.Word\pasted-image-small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cami\AppData\Local\Microsoft\Windows\Temporary Internet Files\Content.Word\pasted-image-small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315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54CB1A1D" w14:textId="77777777" w:rsidR="005D727B" w:rsidRPr="005D727B" w:rsidRDefault="005D727B" w:rsidP="00CD5C52">
          <w:pPr>
            <w:pStyle w:val="Hlavika"/>
            <w:jc w:val="center"/>
            <w:rPr>
              <w:rFonts w:asciiTheme="minorHAnsi" w:hAnsiTheme="minorHAnsi"/>
              <w:sz w:val="18"/>
              <w:szCs w:val="18"/>
            </w:rPr>
          </w:pPr>
          <w:r w:rsidRPr="005D727B">
            <w:rPr>
              <w:rFonts w:asciiTheme="minorHAnsi" w:hAnsiTheme="minorHAnsi"/>
              <w:sz w:val="18"/>
              <w:szCs w:val="18"/>
            </w:rPr>
            <w:t>Staré Grunty 18</w:t>
          </w:r>
        </w:p>
        <w:p w14:paraId="0EB5BB75" w14:textId="77777777" w:rsidR="005D727B" w:rsidRPr="005D727B" w:rsidRDefault="005D727B" w:rsidP="00CD5C52">
          <w:pPr>
            <w:pStyle w:val="Hlavika"/>
            <w:jc w:val="center"/>
            <w:rPr>
              <w:rFonts w:asciiTheme="minorHAnsi" w:hAnsiTheme="minorHAnsi"/>
              <w:sz w:val="18"/>
              <w:szCs w:val="18"/>
            </w:rPr>
          </w:pPr>
          <w:r w:rsidRPr="005D727B">
            <w:rPr>
              <w:rFonts w:asciiTheme="minorHAnsi" w:hAnsiTheme="minorHAnsi"/>
              <w:sz w:val="18"/>
              <w:szCs w:val="18"/>
            </w:rPr>
            <w:t>841 04 Bratislava</w:t>
          </w:r>
        </w:p>
        <w:p w14:paraId="6CE520B6" w14:textId="77777777" w:rsidR="005D727B" w:rsidRPr="005D727B" w:rsidRDefault="005D727B" w:rsidP="00CD5C52">
          <w:pPr>
            <w:pStyle w:val="Hlavika"/>
            <w:jc w:val="center"/>
            <w:rPr>
              <w:rFonts w:asciiTheme="minorHAnsi" w:hAnsiTheme="minorHAnsi"/>
              <w:sz w:val="18"/>
              <w:szCs w:val="18"/>
            </w:rPr>
          </w:pPr>
          <w:r w:rsidRPr="005D727B">
            <w:rPr>
              <w:rFonts w:asciiTheme="minorHAnsi" w:hAnsiTheme="minorHAnsi"/>
              <w:sz w:val="18"/>
              <w:szCs w:val="18"/>
            </w:rPr>
            <w:t>Slovensko</w:t>
          </w:r>
        </w:p>
      </w:tc>
      <w:tc>
        <w:tcPr>
          <w:tcW w:w="3071" w:type="dxa"/>
        </w:tcPr>
        <w:p w14:paraId="2D24E293" w14:textId="77777777" w:rsidR="005D727B" w:rsidRPr="005D727B" w:rsidRDefault="005D727B" w:rsidP="00CD5C52">
          <w:pPr>
            <w:pStyle w:val="Hlavika"/>
            <w:jc w:val="right"/>
            <w:rPr>
              <w:rFonts w:asciiTheme="minorHAnsi" w:hAnsiTheme="minorHAnsi"/>
              <w:sz w:val="18"/>
              <w:szCs w:val="18"/>
            </w:rPr>
          </w:pPr>
          <w:proofErr w:type="spellStart"/>
          <w:r w:rsidRPr="005D727B">
            <w:rPr>
              <w:rFonts w:asciiTheme="minorHAnsi" w:hAnsiTheme="minorHAnsi"/>
              <w:sz w:val="18"/>
              <w:szCs w:val="18"/>
            </w:rPr>
            <w:t>Nadácia</w:t>
          </w:r>
          <w:proofErr w:type="spellEnd"/>
          <w:r w:rsidRPr="005D727B">
            <w:rPr>
              <w:rFonts w:asciiTheme="minorHAnsi" w:hAnsiTheme="minorHAnsi"/>
              <w:sz w:val="18"/>
              <w:szCs w:val="18"/>
            </w:rPr>
            <w:t xml:space="preserve"> Zastavme </w:t>
          </w:r>
          <w:proofErr w:type="spellStart"/>
          <w:r w:rsidRPr="005D727B">
            <w:rPr>
              <w:rFonts w:asciiTheme="minorHAnsi" w:hAnsiTheme="minorHAnsi"/>
              <w:sz w:val="18"/>
              <w:szCs w:val="18"/>
            </w:rPr>
            <w:t>korupciu</w:t>
          </w:r>
          <w:proofErr w:type="spellEnd"/>
        </w:p>
        <w:p w14:paraId="7B14F000" w14:textId="77777777" w:rsidR="005D727B" w:rsidRPr="005D727B" w:rsidRDefault="00334300" w:rsidP="00CD5C52">
          <w:pPr>
            <w:pStyle w:val="Hlavika"/>
            <w:jc w:val="right"/>
            <w:rPr>
              <w:rFonts w:asciiTheme="minorHAnsi" w:hAnsiTheme="minorHAnsi"/>
              <w:sz w:val="18"/>
              <w:szCs w:val="18"/>
            </w:rPr>
          </w:pPr>
          <w:hyperlink r:id="rId2" w:history="1">
            <w:r w:rsidR="005D727B" w:rsidRPr="005D727B">
              <w:rPr>
                <w:rStyle w:val="Hypertextovprepojenie"/>
                <w:rFonts w:asciiTheme="minorHAnsi" w:hAnsiTheme="minorHAnsi"/>
                <w:sz w:val="18"/>
                <w:szCs w:val="18"/>
              </w:rPr>
              <w:t>info@zastavmekorupciu.sk</w:t>
            </w:r>
          </w:hyperlink>
        </w:p>
        <w:p w14:paraId="6D481E97" w14:textId="77777777" w:rsidR="005D727B" w:rsidRPr="005D727B" w:rsidRDefault="005D727B" w:rsidP="00CD5C52">
          <w:pPr>
            <w:pStyle w:val="Hlavika"/>
            <w:jc w:val="right"/>
            <w:rPr>
              <w:rFonts w:asciiTheme="minorHAnsi" w:hAnsiTheme="minorHAnsi"/>
              <w:sz w:val="18"/>
              <w:szCs w:val="18"/>
            </w:rPr>
          </w:pPr>
          <w:r w:rsidRPr="005D727B">
            <w:rPr>
              <w:rFonts w:asciiTheme="minorHAnsi" w:hAnsiTheme="minorHAnsi"/>
              <w:sz w:val="18"/>
              <w:szCs w:val="18"/>
            </w:rPr>
            <w:t>www.zastavmekorupciu.sk</w:t>
          </w:r>
        </w:p>
      </w:tc>
    </w:tr>
  </w:tbl>
  <w:p w14:paraId="2F419579" w14:textId="77777777" w:rsidR="005D727B" w:rsidRDefault="005D72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118"/>
    <w:multiLevelType w:val="multilevel"/>
    <w:tmpl w:val="248455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E508D"/>
    <w:multiLevelType w:val="hybridMultilevel"/>
    <w:tmpl w:val="588A01E2"/>
    <w:lvl w:ilvl="0" w:tplc="844CD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087E0E"/>
    <w:multiLevelType w:val="hybridMultilevel"/>
    <w:tmpl w:val="82BA8008"/>
    <w:lvl w:ilvl="0" w:tplc="EEACCEF0">
      <w:start w:val="1"/>
      <w:numFmt w:val="decimal"/>
      <w:pStyle w:val="podnadpis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5ADB"/>
    <w:multiLevelType w:val="multilevel"/>
    <w:tmpl w:val="4B98636A"/>
    <w:lvl w:ilvl="0">
      <w:start w:val="1"/>
      <w:numFmt w:val="upperRoman"/>
      <w:pStyle w:val="AGMNapis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AGMpodnadpis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AGMpodnadpis2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GMpodnadpis3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AD4311"/>
    <w:multiLevelType w:val="hybridMultilevel"/>
    <w:tmpl w:val="E7368910"/>
    <w:lvl w:ilvl="0" w:tplc="B784F2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1C748E"/>
    <w:multiLevelType w:val="hybridMultilevel"/>
    <w:tmpl w:val="F4C25522"/>
    <w:lvl w:ilvl="0" w:tplc="01E06DB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A62BBA"/>
    <w:multiLevelType w:val="multilevel"/>
    <w:tmpl w:val="5CEACF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C93765"/>
    <w:multiLevelType w:val="multilevel"/>
    <w:tmpl w:val="A34C2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E385F73"/>
    <w:multiLevelType w:val="hybridMultilevel"/>
    <w:tmpl w:val="893674D4"/>
    <w:lvl w:ilvl="0" w:tplc="095EB2D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4510FCB"/>
    <w:multiLevelType w:val="hybridMultilevel"/>
    <w:tmpl w:val="A07EA94A"/>
    <w:lvl w:ilvl="0" w:tplc="009CA4F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Star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E43CE9"/>
    <w:multiLevelType w:val="hybridMultilevel"/>
    <w:tmpl w:val="AB7897D4"/>
    <w:lvl w:ilvl="0" w:tplc="FEF8363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CC850C4"/>
    <w:multiLevelType w:val="hybridMultilevel"/>
    <w:tmpl w:val="9EBE70BC"/>
    <w:lvl w:ilvl="0" w:tplc="4C04C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D0060"/>
    <w:multiLevelType w:val="hybridMultilevel"/>
    <w:tmpl w:val="29CE0F06"/>
    <w:lvl w:ilvl="0" w:tplc="ABA41C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FCA18FB"/>
    <w:multiLevelType w:val="hybridMultilevel"/>
    <w:tmpl w:val="9E580DA0"/>
    <w:lvl w:ilvl="0" w:tplc="26A013B4">
      <w:start w:val="1"/>
      <w:numFmt w:val="decimal"/>
      <w:lvlText w:val="%1."/>
      <w:lvlJc w:val="left"/>
      <w:pPr>
        <w:ind w:left="9433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5318D"/>
    <w:multiLevelType w:val="hybridMultilevel"/>
    <w:tmpl w:val="B5A4D786"/>
    <w:lvl w:ilvl="0" w:tplc="475C1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F29620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D2271C6"/>
    <w:multiLevelType w:val="hybridMultilevel"/>
    <w:tmpl w:val="7332B9B6"/>
    <w:lvl w:ilvl="0" w:tplc="07D6DF04">
      <w:start w:val="1"/>
      <w:numFmt w:val="upperRoman"/>
      <w:pStyle w:val="Kapitola"/>
      <w:lvlText w:val="%1."/>
      <w:lvlJc w:val="left"/>
      <w:pPr>
        <w:ind w:left="65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93" w:hanging="360"/>
      </w:pPr>
    </w:lvl>
    <w:lvl w:ilvl="2" w:tplc="041B001B" w:tentative="1">
      <w:start w:val="1"/>
      <w:numFmt w:val="lowerRoman"/>
      <w:lvlText w:val="%3."/>
      <w:lvlJc w:val="right"/>
      <w:pPr>
        <w:ind w:left="7613" w:hanging="180"/>
      </w:pPr>
    </w:lvl>
    <w:lvl w:ilvl="3" w:tplc="041B000F" w:tentative="1">
      <w:start w:val="1"/>
      <w:numFmt w:val="decimal"/>
      <w:lvlText w:val="%4."/>
      <w:lvlJc w:val="left"/>
      <w:pPr>
        <w:ind w:left="8333" w:hanging="360"/>
      </w:pPr>
    </w:lvl>
    <w:lvl w:ilvl="4" w:tplc="041B0019" w:tentative="1">
      <w:start w:val="1"/>
      <w:numFmt w:val="lowerLetter"/>
      <w:lvlText w:val="%5."/>
      <w:lvlJc w:val="left"/>
      <w:pPr>
        <w:ind w:left="9053" w:hanging="360"/>
      </w:pPr>
    </w:lvl>
    <w:lvl w:ilvl="5" w:tplc="041B001B" w:tentative="1">
      <w:start w:val="1"/>
      <w:numFmt w:val="lowerRoman"/>
      <w:lvlText w:val="%6."/>
      <w:lvlJc w:val="right"/>
      <w:pPr>
        <w:ind w:left="9773" w:hanging="180"/>
      </w:pPr>
    </w:lvl>
    <w:lvl w:ilvl="6" w:tplc="041B000F" w:tentative="1">
      <w:start w:val="1"/>
      <w:numFmt w:val="decimal"/>
      <w:lvlText w:val="%7."/>
      <w:lvlJc w:val="left"/>
      <w:pPr>
        <w:ind w:left="10493" w:hanging="360"/>
      </w:pPr>
    </w:lvl>
    <w:lvl w:ilvl="7" w:tplc="041B0019" w:tentative="1">
      <w:start w:val="1"/>
      <w:numFmt w:val="lowerLetter"/>
      <w:lvlText w:val="%8."/>
      <w:lvlJc w:val="left"/>
      <w:pPr>
        <w:ind w:left="11213" w:hanging="360"/>
      </w:pPr>
    </w:lvl>
    <w:lvl w:ilvl="8" w:tplc="041B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6" w15:restartNumberingAfterBreak="0">
    <w:nsid w:val="7F30165C"/>
    <w:multiLevelType w:val="hybridMultilevel"/>
    <w:tmpl w:val="EC644B34"/>
    <w:lvl w:ilvl="0" w:tplc="86668062">
      <w:start w:val="1"/>
      <w:numFmt w:val="upperLetter"/>
      <w:lvlText w:val="%1."/>
      <w:lvlJc w:val="left"/>
      <w:pPr>
        <w:ind w:left="1080" w:hanging="720"/>
      </w:pPr>
      <w:rPr>
        <w:rFonts w:asciiTheme="minorHAnsi" w:eastAsia="Times New Roman" w:hAnsiTheme="minorHAnsi" w:cs="StarSymbo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16"/>
  </w:num>
  <w:num w:numId="9">
    <w:abstractNumId w:val="1"/>
  </w:num>
  <w:num w:numId="10">
    <w:abstractNumId w:val="9"/>
  </w:num>
  <w:num w:numId="11">
    <w:abstractNumId w:val="13"/>
  </w:num>
  <w:num w:numId="12">
    <w:abstractNumId w:val="11"/>
  </w:num>
  <w:num w:numId="13">
    <w:abstractNumId w:val="14"/>
  </w:num>
  <w:num w:numId="14">
    <w:abstractNumId w:val="7"/>
  </w:num>
  <w:num w:numId="15">
    <w:abstractNumId w:val="6"/>
  </w:num>
  <w:num w:numId="16">
    <w:abstractNumId w:val="0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28"/>
    <w:rsid w:val="000021E9"/>
    <w:rsid w:val="00011FD1"/>
    <w:rsid w:val="0001496A"/>
    <w:rsid w:val="000242D1"/>
    <w:rsid w:val="00060526"/>
    <w:rsid w:val="000637AF"/>
    <w:rsid w:val="00092A87"/>
    <w:rsid w:val="000A49D6"/>
    <w:rsid w:val="000B1993"/>
    <w:rsid w:val="000B1B8B"/>
    <w:rsid w:val="000B6E7D"/>
    <w:rsid w:val="000C6208"/>
    <w:rsid w:val="000D035B"/>
    <w:rsid w:val="000E6DA8"/>
    <w:rsid w:val="000F5E6B"/>
    <w:rsid w:val="00101A07"/>
    <w:rsid w:val="001330DB"/>
    <w:rsid w:val="00140228"/>
    <w:rsid w:val="001517AB"/>
    <w:rsid w:val="0018102D"/>
    <w:rsid w:val="00186AEA"/>
    <w:rsid w:val="001A1A4A"/>
    <w:rsid w:val="001A25BE"/>
    <w:rsid w:val="001A6628"/>
    <w:rsid w:val="001D3A7F"/>
    <w:rsid w:val="001E23D8"/>
    <w:rsid w:val="00203F0C"/>
    <w:rsid w:val="0025098D"/>
    <w:rsid w:val="00251BDD"/>
    <w:rsid w:val="00260729"/>
    <w:rsid w:val="00261944"/>
    <w:rsid w:val="00280B1D"/>
    <w:rsid w:val="002926DD"/>
    <w:rsid w:val="002A7BC4"/>
    <w:rsid w:val="002B5679"/>
    <w:rsid w:val="002B680C"/>
    <w:rsid w:val="002C62A9"/>
    <w:rsid w:val="002E1FDC"/>
    <w:rsid w:val="002F0454"/>
    <w:rsid w:val="002F41A8"/>
    <w:rsid w:val="00302D37"/>
    <w:rsid w:val="003073BF"/>
    <w:rsid w:val="0031106C"/>
    <w:rsid w:val="00321ADD"/>
    <w:rsid w:val="0032447E"/>
    <w:rsid w:val="00330C3D"/>
    <w:rsid w:val="003315C1"/>
    <w:rsid w:val="00334300"/>
    <w:rsid w:val="00345D05"/>
    <w:rsid w:val="003507AF"/>
    <w:rsid w:val="003D73C9"/>
    <w:rsid w:val="003E6148"/>
    <w:rsid w:val="003F222D"/>
    <w:rsid w:val="003F323F"/>
    <w:rsid w:val="003F5C7C"/>
    <w:rsid w:val="004071D7"/>
    <w:rsid w:val="004228C8"/>
    <w:rsid w:val="0043483D"/>
    <w:rsid w:val="00444497"/>
    <w:rsid w:val="00451BA8"/>
    <w:rsid w:val="004529AF"/>
    <w:rsid w:val="00466C8E"/>
    <w:rsid w:val="004867EB"/>
    <w:rsid w:val="004B2D69"/>
    <w:rsid w:val="004C1AE4"/>
    <w:rsid w:val="004D56EC"/>
    <w:rsid w:val="004D66CF"/>
    <w:rsid w:val="004D75FF"/>
    <w:rsid w:val="004D7EF2"/>
    <w:rsid w:val="004E1702"/>
    <w:rsid w:val="00515567"/>
    <w:rsid w:val="00517A60"/>
    <w:rsid w:val="005237D5"/>
    <w:rsid w:val="00523F1D"/>
    <w:rsid w:val="005464AA"/>
    <w:rsid w:val="00546FA7"/>
    <w:rsid w:val="005475F5"/>
    <w:rsid w:val="005646A2"/>
    <w:rsid w:val="00577D87"/>
    <w:rsid w:val="00582461"/>
    <w:rsid w:val="00590171"/>
    <w:rsid w:val="005B7260"/>
    <w:rsid w:val="005C4835"/>
    <w:rsid w:val="005C72A3"/>
    <w:rsid w:val="005D0C1D"/>
    <w:rsid w:val="005D727B"/>
    <w:rsid w:val="005E082D"/>
    <w:rsid w:val="005E633C"/>
    <w:rsid w:val="005E7DCE"/>
    <w:rsid w:val="006000F0"/>
    <w:rsid w:val="00600900"/>
    <w:rsid w:val="00601A43"/>
    <w:rsid w:val="00610DB1"/>
    <w:rsid w:val="00646577"/>
    <w:rsid w:val="00652EAD"/>
    <w:rsid w:val="0066281C"/>
    <w:rsid w:val="00665181"/>
    <w:rsid w:val="00665518"/>
    <w:rsid w:val="006762FC"/>
    <w:rsid w:val="006A33B2"/>
    <w:rsid w:val="006E12F5"/>
    <w:rsid w:val="006F238F"/>
    <w:rsid w:val="006F5C31"/>
    <w:rsid w:val="00702129"/>
    <w:rsid w:val="00702DCC"/>
    <w:rsid w:val="00704735"/>
    <w:rsid w:val="007303A1"/>
    <w:rsid w:val="00743DEB"/>
    <w:rsid w:val="00761639"/>
    <w:rsid w:val="00762643"/>
    <w:rsid w:val="007656CA"/>
    <w:rsid w:val="00774A57"/>
    <w:rsid w:val="007B1B26"/>
    <w:rsid w:val="007D1F65"/>
    <w:rsid w:val="007D207F"/>
    <w:rsid w:val="007E2900"/>
    <w:rsid w:val="007E740F"/>
    <w:rsid w:val="007F0BB6"/>
    <w:rsid w:val="007F31D4"/>
    <w:rsid w:val="00825B26"/>
    <w:rsid w:val="008305BA"/>
    <w:rsid w:val="00845477"/>
    <w:rsid w:val="0084562A"/>
    <w:rsid w:val="0085283F"/>
    <w:rsid w:val="00857BCF"/>
    <w:rsid w:val="008740CA"/>
    <w:rsid w:val="00885DBF"/>
    <w:rsid w:val="00894D28"/>
    <w:rsid w:val="008A460F"/>
    <w:rsid w:val="008A7CF0"/>
    <w:rsid w:val="008D7E76"/>
    <w:rsid w:val="008E3FAC"/>
    <w:rsid w:val="008F1D81"/>
    <w:rsid w:val="008F2A1B"/>
    <w:rsid w:val="00905379"/>
    <w:rsid w:val="009143FD"/>
    <w:rsid w:val="009220AB"/>
    <w:rsid w:val="00927935"/>
    <w:rsid w:val="00973CCF"/>
    <w:rsid w:val="009864CD"/>
    <w:rsid w:val="009B7B78"/>
    <w:rsid w:val="009D1879"/>
    <w:rsid w:val="009E09EF"/>
    <w:rsid w:val="009E2AE4"/>
    <w:rsid w:val="009E36A9"/>
    <w:rsid w:val="009E47B4"/>
    <w:rsid w:val="009F5AE5"/>
    <w:rsid w:val="00A00D9E"/>
    <w:rsid w:val="00A03AE7"/>
    <w:rsid w:val="00A03E95"/>
    <w:rsid w:val="00A05A78"/>
    <w:rsid w:val="00A10052"/>
    <w:rsid w:val="00A17770"/>
    <w:rsid w:val="00A2419C"/>
    <w:rsid w:val="00A41DA7"/>
    <w:rsid w:val="00A4213E"/>
    <w:rsid w:val="00A53185"/>
    <w:rsid w:val="00A6082D"/>
    <w:rsid w:val="00A77DA6"/>
    <w:rsid w:val="00A84CCD"/>
    <w:rsid w:val="00A910A3"/>
    <w:rsid w:val="00A92BAA"/>
    <w:rsid w:val="00AA2BB5"/>
    <w:rsid w:val="00AA6D54"/>
    <w:rsid w:val="00AB6DD5"/>
    <w:rsid w:val="00AD372C"/>
    <w:rsid w:val="00AF1F47"/>
    <w:rsid w:val="00AF309B"/>
    <w:rsid w:val="00AF3BFB"/>
    <w:rsid w:val="00B02656"/>
    <w:rsid w:val="00B0360E"/>
    <w:rsid w:val="00B13134"/>
    <w:rsid w:val="00B228D3"/>
    <w:rsid w:val="00B35024"/>
    <w:rsid w:val="00B53654"/>
    <w:rsid w:val="00B55C4A"/>
    <w:rsid w:val="00B63B7E"/>
    <w:rsid w:val="00B749A1"/>
    <w:rsid w:val="00B82E57"/>
    <w:rsid w:val="00B93B64"/>
    <w:rsid w:val="00BB4D4B"/>
    <w:rsid w:val="00BC1BEE"/>
    <w:rsid w:val="00BC7E15"/>
    <w:rsid w:val="00BD1B30"/>
    <w:rsid w:val="00BD76DD"/>
    <w:rsid w:val="00BD7B5A"/>
    <w:rsid w:val="00BE2BE2"/>
    <w:rsid w:val="00BE61E5"/>
    <w:rsid w:val="00BF0B07"/>
    <w:rsid w:val="00BF6987"/>
    <w:rsid w:val="00C03BAD"/>
    <w:rsid w:val="00C053DC"/>
    <w:rsid w:val="00C1039C"/>
    <w:rsid w:val="00C123C4"/>
    <w:rsid w:val="00C12AA2"/>
    <w:rsid w:val="00C2497A"/>
    <w:rsid w:val="00C417EB"/>
    <w:rsid w:val="00C501BB"/>
    <w:rsid w:val="00C554EE"/>
    <w:rsid w:val="00C61BB0"/>
    <w:rsid w:val="00C70FFB"/>
    <w:rsid w:val="00C76B7E"/>
    <w:rsid w:val="00CA5A6F"/>
    <w:rsid w:val="00CB690B"/>
    <w:rsid w:val="00CC6202"/>
    <w:rsid w:val="00CD1F51"/>
    <w:rsid w:val="00CD5C52"/>
    <w:rsid w:val="00CD74E5"/>
    <w:rsid w:val="00CD79D6"/>
    <w:rsid w:val="00CF0964"/>
    <w:rsid w:val="00D175D1"/>
    <w:rsid w:val="00D20CC7"/>
    <w:rsid w:val="00D2571D"/>
    <w:rsid w:val="00D571EF"/>
    <w:rsid w:val="00D64897"/>
    <w:rsid w:val="00D66E44"/>
    <w:rsid w:val="00D77336"/>
    <w:rsid w:val="00D911FD"/>
    <w:rsid w:val="00DA4934"/>
    <w:rsid w:val="00DB69E7"/>
    <w:rsid w:val="00DC70F4"/>
    <w:rsid w:val="00DC7F6B"/>
    <w:rsid w:val="00DD35ED"/>
    <w:rsid w:val="00DD5532"/>
    <w:rsid w:val="00E01434"/>
    <w:rsid w:val="00E06DF1"/>
    <w:rsid w:val="00E079E0"/>
    <w:rsid w:val="00E4388F"/>
    <w:rsid w:val="00E62F54"/>
    <w:rsid w:val="00E670CD"/>
    <w:rsid w:val="00E67745"/>
    <w:rsid w:val="00E762DF"/>
    <w:rsid w:val="00E92619"/>
    <w:rsid w:val="00E954E4"/>
    <w:rsid w:val="00EB0F3C"/>
    <w:rsid w:val="00EB4D43"/>
    <w:rsid w:val="00ED721A"/>
    <w:rsid w:val="00EE16B3"/>
    <w:rsid w:val="00EE673B"/>
    <w:rsid w:val="00F01E69"/>
    <w:rsid w:val="00F05A9A"/>
    <w:rsid w:val="00F10394"/>
    <w:rsid w:val="00F12E34"/>
    <w:rsid w:val="00F21ACC"/>
    <w:rsid w:val="00F318AB"/>
    <w:rsid w:val="00F508E3"/>
    <w:rsid w:val="00F650D3"/>
    <w:rsid w:val="00F77B76"/>
    <w:rsid w:val="00F83644"/>
    <w:rsid w:val="00F8550E"/>
    <w:rsid w:val="00F86CFB"/>
    <w:rsid w:val="00F90218"/>
    <w:rsid w:val="00F91A39"/>
    <w:rsid w:val="00F955ED"/>
    <w:rsid w:val="00FA344C"/>
    <w:rsid w:val="00FB018A"/>
    <w:rsid w:val="00FB3BAD"/>
    <w:rsid w:val="00FB7352"/>
    <w:rsid w:val="00FC294B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FD269"/>
  <w15:docId w15:val="{B4A71E6B-7964-41D6-932A-8D4472B2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993"/>
    <w:rPr>
      <w:rFonts w:cs="StarSymbol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D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6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2607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Nadpis 4 Char Char"/>
    <w:basedOn w:val="Normlny"/>
    <w:next w:val="Normlny"/>
    <w:link w:val="Nadpis4Char"/>
    <w:semiHidden/>
    <w:unhideWhenUsed/>
    <w:qFormat/>
    <w:rsid w:val="002607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607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607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607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607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607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D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semiHidden/>
    <w:rsid w:val="00E67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E677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paragraph" w:styleId="Odsekzoznamu">
    <w:name w:val="List Paragraph"/>
    <w:basedOn w:val="Normlny"/>
    <w:link w:val="OdsekzoznamuChar"/>
    <w:uiPriority w:val="99"/>
    <w:qFormat/>
    <w:rsid w:val="004D7EF2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rsid w:val="00E67745"/>
    <w:rPr>
      <w:rFonts w:cs="StarSymbol"/>
      <w:sz w:val="24"/>
      <w:szCs w:val="24"/>
      <w:lang w:val="cs-CZ"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4D7EF2"/>
    <w:pPr>
      <w:spacing w:line="276" w:lineRule="auto"/>
      <w:outlineLvl w:val="9"/>
    </w:pPr>
    <w:rPr>
      <w:lang w:val="sk-SK" w:eastAsia="en-US"/>
    </w:rPr>
  </w:style>
  <w:style w:type="paragraph" w:customStyle="1" w:styleId="Kapitola">
    <w:name w:val="Kapitola"/>
    <w:basedOn w:val="Odsekzoznamu"/>
    <w:link w:val="KapitolaChar"/>
    <w:rsid w:val="00260729"/>
    <w:pPr>
      <w:numPr>
        <w:numId w:val="2"/>
      </w:numPr>
      <w:spacing w:after="120"/>
      <w:jc w:val="both"/>
    </w:pPr>
    <w:rPr>
      <w:rFonts w:ascii="Garamond" w:hAnsi="Garamond"/>
      <w:b/>
      <w:lang w:val="sk-SK"/>
    </w:rPr>
  </w:style>
  <w:style w:type="character" w:customStyle="1" w:styleId="KapitolaChar">
    <w:name w:val="Kapitola Char"/>
    <w:basedOn w:val="OdsekzoznamuChar"/>
    <w:link w:val="Kapitola"/>
    <w:rsid w:val="00E67745"/>
    <w:rPr>
      <w:rFonts w:ascii="Garamond" w:hAnsi="Garamond" w:cs="StarSymbol"/>
      <w:b/>
      <w:sz w:val="24"/>
      <w:szCs w:val="24"/>
      <w:lang w:val="cs-CZ" w:eastAsia="cs-CZ"/>
    </w:rPr>
  </w:style>
  <w:style w:type="character" w:customStyle="1" w:styleId="Nadpis4Char">
    <w:name w:val="Nadpis 4 Char"/>
    <w:aliases w:val="Nadpis 4 Char Char Char"/>
    <w:link w:val="Nadpis4"/>
    <w:semiHidden/>
    <w:rsid w:val="002607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B74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B749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semiHidden/>
    <w:rsid w:val="00B749A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semiHidden/>
    <w:rsid w:val="00B749A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semiHidden/>
    <w:rsid w:val="00B749A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pis">
    <w:name w:val="caption"/>
    <w:basedOn w:val="Normlny"/>
    <w:next w:val="Normlny"/>
    <w:semiHidden/>
    <w:unhideWhenUsed/>
    <w:qFormat/>
    <w:rsid w:val="00260729"/>
    <w:pPr>
      <w:spacing w:after="200"/>
    </w:pPr>
    <w:rPr>
      <w:rFonts w:cs="Tunga"/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Podtitul"/>
    <w:link w:val="NzovChar"/>
    <w:qFormat/>
    <w:rsid w:val="00260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link w:val="Nzov"/>
    <w:rsid w:val="00260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Podtitul">
    <w:name w:val="Subtitle"/>
    <w:basedOn w:val="Normlny"/>
    <w:link w:val="PodtitulChar"/>
    <w:qFormat/>
    <w:rsid w:val="002607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74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4D7EF2"/>
    <w:rPr>
      <w:b/>
      <w:bCs/>
    </w:rPr>
  </w:style>
  <w:style w:type="paragraph" w:styleId="Obsah1">
    <w:name w:val="toc 1"/>
    <w:basedOn w:val="Normlny"/>
    <w:next w:val="Normlny"/>
    <w:autoRedefine/>
    <w:uiPriority w:val="39"/>
    <w:unhideWhenUsed/>
    <w:rsid w:val="00260729"/>
    <w:pPr>
      <w:spacing w:after="100" w:line="276" w:lineRule="auto"/>
    </w:pPr>
    <w:rPr>
      <w:rFonts w:asciiTheme="minorHAnsi" w:eastAsiaTheme="minorEastAsia" w:hAnsiTheme="minorHAnsi" w:cstheme="minorBidi"/>
      <w:lang w:val="sk-SK" w:eastAsia="en-US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260729"/>
    <w:pPr>
      <w:spacing w:after="100" w:line="276" w:lineRule="auto"/>
      <w:ind w:left="220"/>
    </w:pPr>
    <w:rPr>
      <w:rFonts w:asciiTheme="minorHAnsi" w:eastAsiaTheme="minorEastAsia" w:hAnsiTheme="minorHAnsi" w:cstheme="minorBidi"/>
      <w:lang w:val="sk-SK" w:eastAsia="en-US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260729"/>
    <w:pPr>
      <w:spacing w:after="100" w:line="276" w:lineRule="auto"/>
      <w:ind w:left="440"/>
    </w:pPr>
    <w:rPr>
      <w:rFonts w:asciiTheme="minorHAnsi" w:eastAsiaTheme="minorEastAsia" w:hAnsiTheme="minorHAnsi" w:cstheme="minorBidi"/>
      <w:lang w:val="sk-SK" w:eastAsia="en-US"/>
    </w:rPr>
  </w:style>
  <w:style w:type="paragraph" w:customStyle="1" w:styleId="AGMGaramond">
    <w:name w:val="AGM Garamond"/>
    <w:basedOn w:val="Normlny"/>
    <w:rsid w:val="00260729"/>
    <w:pPr>
      <w:spacing w:after="120"/>
      <w:jc w:val="both"/>
    </w:pPr>
    <w:rPr>
      <w:rFonts w:ascii="Garamond" w:hAnsi="Garamond" w:cs="Times New Roman"/>
    </w:rPr>
  </w:style>
  <w:style w:type="paragraph" w:customStyle="1" w:styleId="podnadpis1">
    <w:name w:val="podnadpis 1"/>
    <w:basedOn w:val="Odsekzoznamu"/>
    <w:rsid w:val="00260729"/>
    <w:pPr>
      <w:numPr>
        <w:numId w:val="3"/>
      </w:numPr>
      <w:spacing w:after="120"/>
      <w:jc w:val="both"/>
      <w:textAlignment w:val="baseline"/>
    </w:pPr>
    <w:rPr>
      <w:rFonts w:ascii="Garamond" w:hAnsi="Garamond" w:cs="Arial"/>
      <w:b/>
      <w:color w:val="000000"/>
      <w:lang w:val="sk-SK"/>
    </w:rPr>
  </w:style>
  <w:style w:type="paragraph" w:customStyle="1" w:styleId="AGMNapis1">
    <w:name w:val="AGM Napis 1"/>
    <w:basedOn w:val="Odsekzoznamu"/>
    <w:qFormat/>
    <w:rsid w:val="00140228"/>
    <w:pPr>
      <w:numPr>
        <w:numId w:val="7"/>
      </w:numPr>
    </w:pPr>
    <w:rPr>
      <w:rFonts w:ascii="Garamond" w:hAnsi="Garamond" w:cs="Times New Roman"/>
      <w:b/>
      <w:sz w:val="22"/>
      <w:szCs w:val="22"/>
      <w:lang w:val="sk-SK"/>
    </w:rPr>
  </w:style>
  <w:style w:type="paragraph" w:customStyle="1" w:styleId="AGMpodnadpis1">
    <w:name w:val="AGM podnadpis 1"/>
    <w:basedOn w:val="AGMNapis1"/>
    <w:qFormat/>
    <w:rsid w:val="00140228"/>
    <w:pPr>
      <w:numPr>
        <w:ilvl w:val="1"/>
      </w:numPr>
    </w:pPr>
  </w:style>
  <w:style w:type="paragraph" w:customStyle="1" w:styleId="AGMpodnadpis2">
    <w:name w:val="AGM podnadpis 2"/>
    <w:basedOn w:val="Odsekzoznamu"/>
    <w:next w:val="AGMNapis1"/>
    <w:qFormat/>
    <w:rsid w:val="00140228"/>
    <w:pPr>
      <w:numPr>
        <w:ilvl w:val="2"/>
        <w:numId w:val="7"/>
      </w:numPr>
      <w:spacing w:after="120"/>
      <w:jc w:val="both"/>
    </w:pPr>
    <w:rPr>
      <w:rFonts w:ascii="Garamond" w:hAnsi="Garamond" w:cs="Times New Roman"/>
      <w:b/>
      <w:color w:val="000000"/>
      <w:sz w:val="22"/>
      <w:szCs w:val="22"/>
      <w:shd w:val="clear" w:color="auto" w:fill="FFFFFF"/>
      <w:lang w:val="sk-SK"/>
    </w:rPr>
  </w:style>
  <w:style w:type="paragraph" w:customStyle="1" w:styleId="AGMpodnadpis3">
    <w:name w:val="AGM podnadpis 3"/>
    <w:basedOn w:val="AGMpodnadpis2"/>
    <w:qFormat/>
    <w:rsid w:val="00140228"/>
    <w:pPr>
      <w:numPr>
        <w:ilvl w:val="3"/>
      </w:numPr>
    </w:pPr>
  </w:style>
  <w:style w:type="table" w:styleId="Mriekatabuky">
    <w:name w:val="Table Grid"/>
    <w:basedOn w:val="Normlnatabuka"/>
    <w:uiPriority w:val="59"/>
    <w:rsid w:val="0089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246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2461"/>
    <w:rPr>
      <w:rFonts w:cs="StarSymbol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246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8246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143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2E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EAD"/>
    <w:rPr>
      <w:rFonts w:ascii="Tahoma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E06D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6DF1"/>
    <w:rPr>
      <w:rFonts w:cs="StarSymbol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E06D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6DF1"/>
    <w:rPr>
      <w:rFonts w:cs="StarSymbol"/>
      <w:sz w:val="24"/>
      <w:szCs w:val="24"/>
      <w:lang w:val="cs-CZ" w:eastAsia="cs-CZ"/>
    </w:rPr>
  </w:style>
  <w:style w:type="paragraph" w:customStyle="1" w:styleId="Default">
    <w:name w:val="Default"/>
    <w:rsid w:val="003E6148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1D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1D8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1D81"/>
    <w:rPr>
      <w:rFonts w:cs="StarSymbol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1D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1D81"/>
    <w:rPr>
      <w:rFonts w:cs="StarSymbol"/>
      <w:b/>
      <w:bCs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01E6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61944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astavmekorupciu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FCDD9-F3A0-42A4-978F-6BD2526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Cak Miroslav</dc:creator>
  <cp:lastModifiedBy>Jakub Michalica</cp:lastModifiedBy>
  <cp:revision>3</cp:revision>
  <cp:lastPrinted>2018-04-12T18:58:00Z</cp:lastPrinted>
  <dcterms:created xsi:type="dcterms:W3CDTF">2021-01-19T15:24:00Z</dcterms:created>
  <dcterms:modified xsi:type="dcterms:W3CDTF">2021-01-19T15:29:00Z</dcterms:modified>
</cp:coreProperties>
</file>